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ATA/532/2013 vom 27. August 2013</w:t>
      </w:r>
    </w:p>
    <w:p>
      <w:r>
        <w:t>GE Cour de justice, 2013-08-27, FR</w:t>
      </w:r>
    </w:p>
    <w:p>
      <w:r>
        <w:rPr>
          <w:b/>
        </w:rPr>
        <w:t xml:space="preserve">Quelle: </w:t>
      </w:r>
      <w:r>
        <w:t>https://mcp.opencaselaw.ch/entscheid/ge_gerichte_ATA_532_2013</w:t>
      </w:r>
    </w:p>
    <w:p>
      <w:r>
        <w:t>FR: GE_GERICHTE ATA/532/2013 du 27 août 2013</w:t>
      </w:r>
    </w:p>
    <w:p>
      <w:r>
        <w:t>IT: GE_GERICHTE ATA/532/2013 del 27 agosto 2013</w:t>
      </w:r>
    </w:p>
    <w:p>
      <w:pPr>
        <w:pStyle w:val="Heading2"/>
      </w:pPr>
      <w:r>
        <w:t>Regeste</w:t>
      </w:r>
    </w:p>
    <w:p>
      <w:r>
        <w:t>Résumé: Application de la méthode dite « valaisanne » pour déterminer si la rémunération versée à l'actionnaire unique salarié est admissible. Confirmation de la jurisprudence. En l'espèce, la recourante ne peut se prévaloir des heures de travail hebdomadaires retenues pour l'exercice fiscal 2005 et 2006 dans la mesure où le principe de l'étanchéité des exercices et de la périodicité de l'impôt veut que chaque exercice comptable soit considéré comme un tout autonome, sans que le résultat d'un exercice puisse avoir une influence sur les suivants, en l'occurrence celui de 2007. De plus, elle n'a pas prouvé que ses membres dirigeants effectuaient plus d'heures de travail hebdomadaire que celles retenues par le TAPI. La recourante ne peut déduire des honoraires d'administrateurs puisque ses organes dirigeants n'en ont pas perçus à teneur de leurs certificats de salaires respectifs. Toutefois, le TAPI a appliqué de manière erronée un critère du calculateur de salaire en ligne OGMT ce qui a faussé les différents calculs permettant d'obtenir le bénéfice net imposable IFD et ICC 2007.</w:t>
      </w:r>
    </w:p>
    <w:p>
      <w:pPr>
        <w:pStyle w:val="Heading2"/>
      </w:pPr>
      <w:r>
        <w:t>Erwägungen</w:t>
      </w:r>
    </w:p>
    <w:p>
      <w:r>
        <w:rPr>
          <w:b/>
        </w:rPr>
        <w:t>E. 12</w:t>
      </w:r>
    </w:p>
    <w:p>
      <w:r>
        <w:t>septembre 1985 - LPA - E 5 10). 2)</w:t>
      </w:r>
    </w:p>
    <w:p>
      <w:r>
        <w:t>L'objet du litige est la reprise dans le bénéfice imposable ICC et IFD 2007 de la société d’une partie des salaires versés à M. B______ et Mme L______ ainsi que l'absence de prise en considération dans la rémunération globale des intéressés d'honoraires d'administrateurs à hauteur de CHF 27'345.- brut. 3) a. L’art. 57 de la loi fédérale sur l’impôt fédéral direct du 14 décembre 1990 (LIFD - RS 642.11) prévoit que l’impôt sur le bénéfice a pour objet le bénéfice net.</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w:t>
      </w:r>
    </w:p>
    <w:p>
      <w:r>
        <w:t>- 12/20 - A/496/2011</w:t>
      </w:r>
    </w:p>
    <w:p>
      <w:r>
        <w:t>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 direkten Steuern der Kantone und Gemeinden (StHG), 2ème éd., n. 74 ad. art. 24 p. 406), soit des prélèvements qui ne sont pas conformes au droit commercial et qui doivent donc être réintégrés dans le bénéfice imposable. L’art. 12 let. h LIPM est conforme à l’art. 58 al. 1 let. b LIFD quand bien même il est rédigé différemment (ATA/633/2011 précité ; ATA/152/2011 du 8 mars 2011). 4)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 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 OBERSON, Droit fiscal suisse,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w:t>
      </w:r>
    </w:p>
    <w:p>
      <w:r>
        <w:t>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w:t>
      </w:r>
    </w:p>
    <w:p>
      <w:r>
        <w:t>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 OBERSON, op. cit., p. 236 n. 42).</w:t>
      </w:r>
    </w:p>
    <w:p>
      <w:r>
        <w:t>d. En présence d’une prestation appréciable en argent, les conséquences fiscales sont multiples. Au niveau de la société, l’autorité fiscale réintégrera la prestation dans les bénéfices imposables de celle-ci (X. OBERSON, op. cit., p. 197 n. 35).</w:t>
      </w:r>
    </w:p>
    <w:p>
      <w:r>
        <w:t>- 13/20 - A/496/2011</w:t>
      </w:r>
    </w:p>
    <w:p>
      <w:r>
        <w:t>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w:t>
      </w:r>
    </w:p>
    <w:p>
      <w:r>
        <w:t>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 MELLER /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5) 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w:t>
      </w:r>
    </w:p>
    <w:p>
      <w:r>
        <w:t>- 14/20 - A/496/2011 d’arbitraire (Arrêt du Tribunal fédéral 2C_188/2008 précité consid. 5.3 ; E. MELLER / J. SALOM, op. cit., p. 118).</w:t>
      </w:r>
    </w:p>
    <w:p>
      <w:r>
        <w:t>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w:t>
      </w:r>
    </w:p>
    <w:p>
      <w:r>
        <w:t>La méthode consiste à déterminer un salaire de base moyen, puis à l’augmenter d’une participation au chiffre d’affaires de la société (2 % jusqu’à CHF 1’000’000.-, 1.8% entre 1 et 5 millions et 1.6% au-delà, ainsi qu’une part du bénéfice (1/3 pour les sociétés employant moins de vingt collaborateurs et 1/4 pour les entreprises plus grandes) (ATA/464/2013 du 30 juillet 2013 ; ATA/170/2012 du 27 mars 2012 ; ATA/777/2010 du 9 novembre 2010 ; E. MELLER / J. SALOM, op. cit., p. 118).</w:t>
      </w:r>
    </w:p>
    <w:p>
      <w:r>
        <w:t>c. Le Tribunal fédéral a pour sa part confirmé son application dans la mesure où elle a conduit à un résultat exempt d’arbitraire, adapté aux circonstances du cas d’espèce (Arrêts du Tribunal fédéral 2C_421/2009 précité ; 2C_188/2008 précité). La méthode « valaisanne » a reçu l’aval de l’administration fédérale des contributions (ci-après : AFC-CH) et son application a été entérinée par la jurisprudence cantonale (ATA/485/2013 du 30 juillet 2013 ; ATA/25/2013 du</w:t>
      </w:r>
    </w:p>
    <w:p>
      <w:r>
        <w:rPr>
          <w:b/>
        </w:rPr>
        <w:t>E. 15</w:t>
      </w:r>
    </w:p>
    <w:p>
      <w:r>
        <w:t>janvier 2013 ; ATA/170/2012 précité et les références citées).</w:t>
      </w:r>
    </w:p>
    <w:p>
      <w:r>
        <w:t>La juridiction de céans a admis, dans le cadre du calcul du salaire qualifié d’excessif selon la méthode «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(ATA/674/2011 du 1er novembre 2011 ; ATA/777/2010 précité). En outre, le recours à un tel instrument aboutissait à établir un salaire fixé au maximum de la fourchette des rémunérations possibles (ATA/25/2013 précité).</w:t>
      </w:r>
    </w:p>
    <w:p>
      <w:r>
        <w:t>Cet instrument a enfin déjà été appliqué par la chambre de céans à une société de gestion de fortune (ATA/485/2013 précité ; ATA/125/2013 précité). 6) a. Pour le calcul des salaires admissibles, la société fait grief au TAPI d'avoir retenu un temps de travail hebdomadaire de 50 heures alors que dans le cadre des périodes fiscales 2005 et 2006, l'AFC-GE avait admis un temps de travail de</w:t>
      </w:r>
    </w:p>
    <w:p>
      <w:r>
        <w:t>- 15/20 - A/496/2011 60 heures pour M. B______ et Mme L______. De plus, ce temps de travail hebdomadaire était conforme à la pratique constante en la matière.</w:t>
      </w:r>
    </w:p>
    <w:p>
      <w:r>
        <w:t>b. De jurisprudence constante, le principe de l’étanchéité des exercices et de la périodicité de l’impôt veut que chaque exercice comptable soit considéré comme un tout autonome, sans que le résultat d’un exercice puisse avoir une influence sur les suivants (cf. ATA/547/2012 du 21 août 2012 ; ATA/268/2011 du 3 mai 2011 ; ATA/217/2007 du 8 mai 2007 et les références citées). Ce principe est déduit de l'article 1 de la loi générale sur les contributions publiques du 9 novembre l887 (LCP - D 3 05) selon lequel la perception de l'impôt sur le revenu et la fortune est annuelle (RDAF 1989 p. 13).</w:t>
      </w:r>
    </w:p>
    <w:p>
      <w:r>
        <w:t>De plus,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ATF 121 II 257 consid. 4c/aa p. 266 ; Arrêts du Tribunal fédéral 2C_477/2009 du 8 janvier 2010 consid. 3.5 ; 2C_199/2009 du 14 septembre 2009 consid. 3.1 ; 2C_76/2009 du 23 juillet 2009 consid. 2.2 ; 2A.295/2006 consid. 4.3 du 16 octobre 2006 ; 2A.534/2004 du 18 février 2005 ; ATA/162/2013 du 12 mars 2013 consid. 17 ; ATA/124/2013 du 26 février 2013 consid. 3d ; ATA/742/2012 du 30 octobre 2012 ; ATA/633/2011 précité et les références citées).</w:t>
      </w:r>
    </w:p>
    <w:p>
      <w:r>
        <w:t>c. En l'espèce et en application du principe susmentionné, la société ne peut se fonder sur le temps de travail retenu par l'AFC-GE pour les périodes fiscales 2005 et 2006 (60 heures par semaine) et exiger un même temps de travail hebdomadaire pour l'exercice fiscal 2007. De plus, aucune pièce n'a été produite par la société permettant à la chambre de céans d'estimer le temps de travail hebdomadaire de M. B______ et Mme L______. Il faut donc retenir, comme l'a fait le TAPI, un temps de travail hebdomadaire de M. B______ et Mme L______ de 50 heures, étant précisé que l'AFC-GE avait quant à elle retenu un temps de travail de 40 heures par semaine.</w:t>
      </w:r>
    </w:p>
    <w:p>
      <w:r>
        <w:t>d. Le grief sera donc rejeté. 7) a. La société reproche au TAPI de ne pas avoir pris en compte dans la rémunération déductible de M. B______ et Mme L______ des honoraires d'administrateurs pour un montant au moins équivalent à celui versé à M. G______, soit CHF 27'345.- brut. La société se fonde principalement sur l'ATA/633/2011 précité pour motiver son grief.</w:t>
      </w:r>
    </w:p>
    <w:p>
      <w:r>
        <w:t>b. La jurisprudence citée par la société diffère sensiblement du cas d'espèce. En effet dans l'ATA/633/2011 précité, les actionnaires avaient perçus de la part de la société des jetons de présence (pour leur activité d'administrateur) en plus de</w:t>
      </w:r>
    </w:p>
    <w:p>
      <w:r>
        <w:t>- 16/20 - A/496/2011 leur salaire de base annuel, ce qui n'est pas le cas pour M. B______ et Mme L______. En effet, la case prévue à cet effet dans leurs certificats de salaires respectifs est vide, de sorte qu'il convient de considérer que leurs rémunérations pour leur activité d'administrateur étaient intégrées dans leur salaire de base.</w:t>
      </w:r>
    </w:p>
    <w:p>
      <w:r>
        <w:t>Cela est d'autant plus vraisemblable que dans son acte de recours du</w:t>
      </w:r>
    </w:p>
    <w:p>
      <w:r>
        <w:rPr>
          <w:b/>
        </w:rPr>
        <w:t>E. 16</w:t>
      </w:r>
    </w:p>
    <w:p>
      <w:r>
        <w:t>février 2011 par-devant le TAPI, la société elle-même a admis que M. B______ et Mme L______ ne percevaient aucune rémunération, indemnité ou autres tantièmes pour leur activité d'administrateur et qu'il était approprié d'admettre que la rémunération reçue par les intéressés comprenait en outre une indemnité pour leur fonction d'administrateur (p. 5 du recours). Enfin et compte tenu de cela, le fait de rémunérer M. B______ et Mme L______ pour leur activité d'administrateur équivaudrait à les rétribuer une deuxième fois, ce qui ne serait pas admissible.</w:t>
      </w:r>
    </w:p>
    <w:p>
      <w:r>
        <w:t>c. Le grief sera ainsi rejeté. 8)</w:t>
      </w:r>
    </w:p>
    <w:p>
      <w:r>
        <w:t>La chambre administrative est habilitée, en raison de l'effet dévolutif qui caractérise la procédure de recours (art. 67 LPA) et du pouvoir de décision dont elle bénéficie (art. 69 LPA), à substituer sa motivation à celle de l'autorité de première instance (ATA/658/2011 du 18 octobre 2011 ; ATA/633/2011 précité ; ATA/23/2007 du 23 janvier 2007). 9) a. Le TAPI a déterminé les salaires de M. B______ et Mme L______ en tenant compte de leur branche d'activité, de leur formation, de leur position hiérarchique, de leur niveau de qualification, de leur domaine d'activité, de leur âge, de leur ancienneté et de leur temps de travail hebdomadaire. En se fondant sur les circonstances du cas d’espèce, et en opérant à nouveau tous les calculs, il a ainsi respecté les critères posés par la jurisprudence en matière d’utilisation de statistiques pour déterminer le salaire de base.</w:t>
      </w:r>
    </w:p>
    <w:p>
      <w:r>
        <w:t>b. Si le calcul concernant M. B______ effectué par le TAPI ne prête pas le flanc à la critique (CHF 379'560.- annuel), celui concernant Mme L______ est erroné s'agissant du critère de l'âge à prendre en considération. En effet, le TAPI, utilisant le calculateur de salaire en ligne de l'OGMT, a indiqué un âge de 65 ans pour Mme L______ (pour ce faire il a ajouté 5 ans à l'année de naissance de Mme L______ afin de compenser le décalage par rapport à l'année 2007, année en cause). Or, si on ajoute 5 ans à l'année de naissance de Mme L______ (1944), on obtient 1949, ce qui lui fait un âge de 63 ans en 2012 et non un âge de 65 ans comme retenu à tort dans le jugement du TAPI. C'est d'autant plus faux que comme l'a souligné le TAPI, il convient de prendre en compte l'âge des intéressés lors de l'année fiscale en cause, soit l'année 2007. Or en 2007, Mme L______ avait 63 ans.</w:t>
      </w:r>
    </w:p>
    <w:p>
      <w:r>
        <w:t>- 17/20 - A/496/2011</w:t>
      </w:r>
    </w:p>
    <w:p>
      <w:r>
        <w:t>Il faut ainsi recalculer les données du cas d'espèce s'agissant de Mme L______ :</w:t>
      </w:r>
    </w:p>
    <w:p>
      <w:r>
        <w:t>- Branche d'activité : Services financiers et activités auxiliaires ;</w:t>
      </w:r>
    </w:p>
    <w:p>
      <w:r>
        <w:t>- Formation : Université ;</w:t>
      </w:r>
    </w:p>
    <w:p>
      <w:r>
        <w:t>- Position hiérarchique : Cadre supérieur ;</w:t>
      </w:r>
    </w:p>
    <w:p>
      <w:r>
        <w:t>- Niveau de qualification : Travaux les plus exigeants ;</w:t>
      </w:r>
    </w:p>
    <w:p>
      <w:r>
        <w:t>- Domaine d'activité : Définition stratégie entreprise ;</w:t>
      </w:r>
    </w:p>
    <w:p>
      <w:r>
        <w:t>- Age : 63 ans, étant précisé qu'il faut ajouter 6 ans à son année de naissance afin de compenser le décalage par rapport à l'année 2013 (année du calcul en ligne).</w:t>
      </w:r>
    </w:p>
    <w:p>
      <w:r>
        <w:t>On obtient ainsi un salaire médian de CHF 33'210.- par mois, étant précisé que comme l'a relevé le TAPI aucun élément du dossier ne commande de retenir le salaire supérieur donné par le calculateur. Compte tenu de la variation de l'indice genevois moyen des prix à la consommation qui est passé de 347 en 2007 à 357.2 en 2010, d'après la statistique T 05.02.02 établie par l'Office cantonal de la statistique, le montant précité correspond pour l'année 2007 à CHF 32'261.- par mois de salaire médian, soit CHF 387'132.- annuel.</w:t>
      </w:r>
    </w:p>
    <w:p>
      <w:r>
        <w:t>Compte tenu de ce qui précède, les salaires annuels de base, fiscalement admissibles, s'élèvent à CHF 379'560.- pour M. B______ et à CHF 387'132.- pour Mme L______, soit un total de CHF 766'692.-. C'est donc ce montant qui sera pris en compte au titre de salaire annuel de base, en lieu et place de la somme de CHF 761'688.- retenue par le TAPI.</w:t>
      </w:r>
    </w:p>
    <w:p>
      <w:r>
        <w:t>Au salaire de base susmentionné, il y a lieu d'ajouter le supplément de salaire calculé en fonction du chiffre d'affaires de la société, soit CHF 74'957.- et une part du bénéfice de la société. Dans ce cadre, la rémunération effective des intéressés a été de CHF 957'387.- pour M. B______ et de CHF 954'809.- pour Mme L______, soit un total de CHF 1'912'196.-.</w:t>
      </w:r>
    </w:p>
    <w:p>
      <w:r>
        <w:t>Ainsi, le calcul global devant être retenu est le suivant : Supplément en fonction du chiffre d'affaire :</w:t>
      </w:r>
    </w:p>
    <w:p>
      <w:r>
        <w:t>Chiffre d'affaires % Supplément 2,0% jusqu'à 1 million 1'000'000 2,0% 20'000 1,8% entre 1 et 5 millions 3'053'166 1,8% 54'957 1,6% plus de 5 millions</w:t>
      </w:r>
    </w:p>
    <w:p>
      <w:r>
        <w:t>1,6%</w:t>
      </w:r>
    </w:p>
    <w:p>
      <w:r>
        <w:t>4'053'166</w:t>
      </w:r>
    </w:p>
    <w:p>
      <w:r>
        <w:t>74'957</w:t>
      </w:r>
    </w:p>
    <w:p>
      <w:r>
        <w:t>- 18/20 - A/496/2011</w:t>
      </w:r>
    </w:p>
    <w:p>
      <w:r>
        <w:t>Bénéfice net comptable 419'879 Salaires effectifs</w:t>
      </w:r>
    </w:p>
    <w:p>
      <w:r>
        <w:t>1'912'196 Salaires effectifs 1'912'196</w:t>
      </w:r>
    </w:p>
    <w:p>
      <w:r>
        <w:t>Salaires de base -766'692 ./. Rémunération maximum totale :</w:t>
      </w:r>
    </w:p>
    <w:p>
      <w:r>
        <w:t>Supplément en fonction du CA -74'957 Salaires de base -766'692 Sous-total 1'490'426 Supplément en fonction du CA -74'957</w:t>
      </w:r>
    </w:p>
    <w:p>
      <w:r>
        <w:t>Nombre employés : 1 à 20</w:t>
      </w:r>
    </w:p>
    <w:p>
      <w:r>
        <w:t>Part du bénéfice supplémentaire 1/3 -496'809 (1'338'458)</w:t>
      </w:r>
    </w:p>
    <w:p>
      <w:r>
        <w:t>Part du bénéfice imposable 2/3 993'617 Salaires excessifs</w:t>
      </w:r>
    </w:p>
    <w:p>
      <w:r>
        <w:t>573'738</w:t>
      </w:r>
    </w:p>
    <w:p>
      <w:r>
        <w:t>Preuve</w:t>
      </w:r>
    </w:p>
    <w:p>
      <w:r>
        <w:t>Bénéfice net comptable 419'879</w:t>
      </w:r>
    </w:p>
    <w:p>
      <w:r>
        <w:t>Salaires excessifs 573'738</w:t>
      </w:r>
    </w:p>
    <w:p>
      <w:r>
        <w:t>Bénéfice minimum 993'617</w:t>
      </w:r>
    </w:p>
    <w:p>
      <w:r>
        <w:t>Il ressort dès lors un salaire excessif de CHF 573'738.- au lieu de CHF 577'074.- retenu par le TAPI.</w:t>
      </w:r>
    </w:p>
    <w:p>
      <w:r>
        <w:t>c. Au vu de tout ce qui précède, le bénéfice net imposable pour l'IFD et l'ICC 2007 s'élève donc à CHF 1'002'177.-. Ce montant est composé du bénéfice net résultant de la déclaration fiscale et des données comptables fournies (CHF 419'879.-), ainsi que de la reprise, non contestée, de CHF 8'560.- effectuée à titre de « Frais forfaitaires non admis » et de la reprise pour salaire excessif de CHF 573'738.-. 10) Compte tenu de tout ce qui précède, le recours sera partiellement admis. Le jugement entrepris sera partiellement annulé. Le dossier sera renvoyé à l'AFC-GE pour que de nouveaux bordereaux IFD et ICC 2007 soient notifiés, lesquels retiendront un bénéfice net imposable de CHF 1'002'177.-, conformément aux considérants du présent jugement. 11) M______ S.A. succombant dans une large mesure, un émolument de CHF 1'000.- sera mis à sa charge (art. 87 al. 1 LPA). Le recours étant néanmoins admis partiellement, il lui sera alloué, dès lors qu'elle y a conclu, une indemnité de procédure de CHF 500.-, à la charge de l'Etat de Genève (art. 87 al. 2 LPA).</w:t>
      </w:r>
    </w:p>
    <w:p>
      <w:r>
        <w:t>* * * * *</w:t>
      </w:r>
    </w:p>
    <w:p>
      <w:r>
        <w:t>- 19/20 - A/496/2011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