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ATA/531/2020 vom 26. Mai 2020</w:t>
      </w:r>
    </w:p>
    <w:p>
      <w:r>
        <w:t>GE Cour de justice, 2020-05-26, FR</w:t>
      </w:r>
    </w:p>
    <w:p>
      <w:r>
        <w:rPr>
          <w:b/>
        </w:rPr>
        <w:t xml:space="preserve">Quelle: </w:t>
      </w:r>
      <w:r>
        <w:t>https://mcp.opencaselaw.ch/entscheid/ge_gerichte_ATA_531_2020</w:t>
      </w:r>
    </w:p>
    <w:p>
      <w:r>
        <w:t>FR: GE_GERICHTE ATA/531/2020 du 26 mai 2020</w:t>
      </w:r>
    </w:p>
    <w:p>
      <w:r>
        <w:t>IT: GE_GERICHTE ATA/531/2020 del 26 maggio 2020</w:t>
      </w:r>
    </w:p>
    <w:p>
      <w:pPr>
        <w:pStyle w:val="Heading2"/>
      </w:pPr>
      <w:r>
        <w:t>Erwägungen</w:t>
      </w:r>
    </w:p>
    <w:p>
      <w:r>
        <w:rPr>
          <w:b/>
        </w:rPr>
        <w:t>E. 1</w:t>
      </w:r>
    </w:p>
    <w:p>
      <w:r>
        <w:t>a. Lorsqu’elle ne peut plus être contestée par un moyen de droit ordinaire, une décision de taxation acquiert l’autorité de chose décidée, laquelle signifie qu’elle lie les parties à la procédure ainsi que les autorités, notamment celle qui a statué, de telle sorte que la créance fiscale ne peut plus faire l’objet d’une nouvelle procédure ordinaire. Il est cependant possible de revenir sur la décision de taxation, en dépit de l’autorité de chose décidée dont elle est revêtue, lorsque les conditions de la révision, qui constitue une voie de droit extraordinaire, sont réunies (arrêt du Tribunal fédéral 2C_134/2007 du 20 septembre 2007 consid. 2.2 ; ATA/211/2015 du 24 février 2015 consid. 3a et les arrêts cités ; Ulrich HAEFELIN/Georg MÜLLER/Felix UHLMANN, Allgemeines Verwaltungsrecht, 6ème édition, 2010, n. 990 ss).</w:t>
      </w:r>
    </w:p>
    <w:p>
      <w:r>
        <w:t>b. Selon l’art. 55 al. 1 de la loi de procédure fiscale du 4 octobre 2001 (LPFisc - D 3 17), une décision ou un prononcé entré en force peut être révisé en faveur du contribuable, à sa demande ou d’office, lorsque des faits importants ou des preuves concluantes sont découverts (let. a), que l’autorité qui a statué n’a pas tenu compte de faits importants ou de preuves concluantes qu’elle connaissait ou devait connaître ou qu’elle a violé de quelque autre manière l’une des règles essentielles de la procédure (let. b), 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w:t>
      </w:r>
    </w:p>
    <w:p>
      <w:r>
        <w:t>c. La demande de révision doit être formée dans les 90 jours qui suivent la découverte du motif de révision mais au plus tard dans les dix ans qui suivent la notification de la décision ou de l’arrêt prononcé (art. 56 LPFisc).</w:t>
      </w:r>
    </w:p>
    <w:p>
      <w:r>
        <w:t>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p. 101 ; 130 II 65 consid. 5.2 p. 71 ss ; arrêts du Tribunal fédéral 2C_1066/2013 précité consid. 3.1 et 3.2 et 2C_620/2012 du 14 février 2013 consid. 3.3).</w:t>
      </w:r>
    </w:p>
    <w:p>
      <w:r>
        <w:t>d. La procédure de révision vise à corriger des erreurs procédurales ou de fait, lesquelles doivent être intervenues antérieurement au prononcé dont la révision est demandée, mais qui ont été découverts par la suite (arrêt du Tribunal fédéral 2C_134/2007 précité consid. 2.2). Encore faut-il que les preuves n’aient pas pu être administrées antérieurement ou que les faits à prouver aient été nouveaux</w:t>
      </w:r>
    </w:p>
    <w:p>
      <w:r>
        <w:t>- 5/7 - A/1094/2020 (ATF 108 V 170 consid. 1 p. 171 s). Ces faits et preuves nouveaux ne peuvent entraîner la révision que s’ils sont importants, c’est-à-dire de nature à influer sur l’issue de la contestation, en particulier s’ils ont pour effet, qu’à la lumière de l’état de fait modifié, l’appréciation juridique doive intervenir différemment que dans le cas de la précédente décision. Ainsi, la procédure de révision ne vise pas à prendre en considération un autre point de vue juridique qui se serait développé dans l’intervalle. Il en résulte qu’une nouvelle appréciation juridique de l’état de fait, une nouvelle jurisprudence ou la modification d’une jurisprudence existante ne constituent pas des cas de révision (arrêts du Tribunal fédéral 2C_1066/2013 précité consid. 3.3 et 2A.710/2006 du 23 mai 2007 consid. 3.2).</w:t>
      </w:r>
    </w:p>
    <w:p>
      <w:r>
        <w:t>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(arrêts du Tribunal fédéral 2C_962/2019 du 19 février 2020 consid. 5.3 ; 2C_245/2019 du 27 septembre 2019 consid. 5.3 et les références citées).</w:t>
      </w:r>
    </w:p>
    <w:p>
      <w:r>
        <w:t>f. Lorsque l’autorité qui a statué n’a pas tenu compte de faits importants ou de preuves concluantes qu’elle connaissait ou devait connaître, elle est réputée avoir violé une règle essentielle de procédure ouvrant la voie de la révision. Il en va de même en cas de violation du droit d’être entendu, de la maxime d’office ou du devoir de récusation, de la composition irrégulière de l’autorité ou encore de l’omission de statuer sur certaines conclusions. En revanche, l’appréciation erronée, voire arbitraire d’une preuve ou la subsomption mal fondée ne constituent pas un motif de révision (arrêt du Tribunal fédéral 2P.198/2003 du 12 décembre 2003 ; ATA/211/2015 précité consid. 3d ; Danielle YERSIN/Yves NOËL [éd.], Impôt fédéral direct, Commentaire de la loi sur l’impôt fédéral direct, 2008, n. 8 ad art. 147 LIFD).</w:t>
      </w:r>
    </w:p>
    <w:p>
      <w:r>
        <w:rPr>
          <w:b/>
        </w:rPr>
        <w:t>E. 2</w:t>
      </w:r>
    </w:p>
    <w:p>
      <w:r>
        <w:t>En l’occurrence, la recourante sollicite la révision de l’arrêt de la chambre administrative pour obtenir le réexamen des décisions de taxation d'IS sur lesquelles celle-ci a statué définitivement.</w:t>
      </w:r>
    </w:p>
    <w:p>
      <w:r>
        <w:t>Sa requête ne remplit à l’évidence pas l’une ou l’autre des conditions qui devraient être réunies pour entrer en matière sur une telle démarche. Elle n’allègue la découverte d’aucun fait nouveau important ou preuve concluante, ni ne fait valoir de faits importants ou de preuves concluantes dont la chambre de céans aurait dû tenir compte alors qu’ils leur avaient été soumis. Elle n’invoque pas non plus de violation des règles essentielles de procédure, ni un crime ou un délit</w:t>
      </w:r>
    </w:p>
    <w:p>
      <w:r>
        <w:t>- 6/7 - A/1094/2020 ayant influencé le prononcé de l’arrêt dont la révision est requise, mais se contente de fournir une pièce dont elle dit ne pas avoir su qu'il fût possible de la produire, à savoir le témoignage écrit de son mari. Quand bien même la recourante n'est ni avocate ni mandataire professionnellement qualifiée, il était évident qu'elle devait prouver la réalité de la situation exceptionnelle que constitue la poursuite d'un ménage commun malgré une séparation de fait. Or, elle n'a ni produit l'attestation de son mari qu'elle fournit maintenant, ni même demandé que ce dernier fût entendu par la chambre de céans, se contentant de produire quelques factures en lien avec la maison que les époux possèdent tous les deux. Quoi qu'il en soit, ces différents moyens de preuve étaient disponibles au moment de la première procédure, si bien qu'ils auraient pu être présentés dans la procédure ordinaire.</w:t>
      </w:r>
    </w:p>
    <w:p>
      <w:r>
        <w:t>Ces constats empêchent d’entrer en matière sur toute révision de l’arrêt de la chambre administrative du 10 mars 2020 et, partant, de remettre en question les décisions de taxation IS 2015 à 2017.</w:t>
      </w:r>
    </w:p>
    <w:p>
      <w:r>
        <w:t>La demande de révision formée par la contribuable ne remplit manifestement pas les conditions de l’art. 55 al. 1 LPFisc. Elle doit être déclarée irrecevable, sans que l’ouverture d’une instruction à ce sujet soit nécessaire (art. 72 LPA).</w:t>
      </w:r>
    </w:p>
    <w:p>
      <w:r>
        <w:rPr>
          <w:b/>
        </w:rPr>
        <w:t>E. 3</w:t>
      </w:r>
    </w:p>
    <w:p>
      <w:r>
        <w:t>Au vu des circonstances d'espèce, il sera renoncé à un émolument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