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ATA/530/2017 vom 9. Mai 2017</w:t>
      </w:r>
    </w:p>
    <w:p>
      <w:r>
        <w:t>GE Cour de justice, 2017-05-09, FR</w:t>
      </w:r>
    </w:p>
    <w:p>
      <w:r>
        <w:rPr>
          <w:b/>
        </w:rPr>
        <w:t xml:space="preserve">Quelle: </w:t>
      </w:r>
      <w:r>
        <w:t>https://mcp.opencaselaw.ch/entscheid/ge_gerichte_ATA_530_2017</w:t>
      </w:r>
    </w:p>
    <w:p>
      <w:r>
        <w:t>FR: GE_GERICHTE ATA/530/2017 du 9 mai 2017</w:t>
      </w:r>
    </w:p>
    <w:p>
      <w:r>
        <w:t>IT: GE_GERICHTE ATA/530/2017 del 9 maggio 2017</w:t>
      </w:r>
    </w:p>
    <w:p>
      <w:pPr>
        <w:pStyle w:val="Heading2"/>
      </w:pPr>
      <w:r>
        <w:t>Regeste</w:t>
      </w:r>
    </w:p>
    <w:p>
      <w:r>
        <w:t>Résumé: Violation de la LTaxis par un chauffeur de taxi de service privé en raison de la fourniture d'un service de limousine effectué par le biais de l'application Uber sans être au bénéfice d'une autorisation d'exploiter une limousine. Pas de violation de la LTaxis en matière de fixation de prix en raison de l'utilisation de l'application Uber en l'espèce. Réduction de l'amende. Admission partielle du recours.</w:t>
      </w:r>
    </w:p>
    <w:p>
      <w:pPr>
        <w:pStyle w:val="Heading2"/>
      </w:pPr>
      <w:r>
        <w:t>Erwägungen</w:t>
      </w:r>
    </w:p>
    <w:p>
      <w:r>
        <w:rPr>
          <w:b/>
        </w:rPr>
        <w:t>E. 12</w:t>
      </w:r>
    </w:p>
    <w:p>
      <w:r>
        <w:t>septembre 1985 - LPA - E 5 10). 2)</w:t>
      </w:r>
    </w:p>
    <w:p>
      <w:r>
        <w:t>Le présent litige porte sur l’amende de CHF 1'900.- infligée au recourant et l’avertissement selon lequel, en cas de récidive, sa carte professionnelle de chauffeur serait suspendue, tous deux objets de la décision litigieuse. Celle-ci porte sur des faits résultant de l’intervention du directeur de la B______, effectuée sur demande du service dont le but était de comprendre le fonctionnement de la société Uber et celui de l’application proposée par celle-ci. 3)</w:t>
      </w:r>
    </w:p>
    <w:p>
      <w:r>
        <w:t>La présente affaire est régie par la LTaxis et le règlement d’exécution de la loi sur les taxis et limousines (transport professionnel de personnes au moyen de voitures automobiles) du 4 mai 2005 (RTaxis - H 1 30.01).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w:t>
      </w:r>
    </w:p>
    <w:p>
      <w:r>
        <w:rPr>
          <w:b/>
        </w:rPr>
        <w:t>E. 13</w:t>
      </w:r>
    </w:p>
    <w:p>
      <w:r>
        <w:t>octobre 2016 dont l’entrée en vigueur est prévue pour le 1er juillet 2017. Enfin, la LPA est susceptible de s’appliquer aux questions de procédure. 4)</w:t>
      </w:r>
    </w:p>
    <w:p>
      <w:r>
        <w:t>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B______,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w:t>
      </w:r>
    </w:p>
    <w:p>
      <w:r>
        <w:t>- 8/13 - A/103/2015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B______ sur cette question. Par conséquent, le droit d’être entendu du recourant n’a pas été violé sur ces deux points. 5)</w:t>
      </w:r>
    </w:p>
    <w:p>
      <w:r>
        <w:t>Il y a lieu d’examiner si le recourant a violé l’art. 9 al. 1 let. e LTaxis lors de la course du 12 septembre 2014, effectuée par le biais de l’application Uber au moyen d’une limousine immatriculée au nom d’un tiers, alors qu’il est titulaire d’une autorisation d’exploiter un taxi de service privé en qualité d’indépendant.</w:t>
      </w:r>
    </w:p>
    <w:p>
      <w:r>
        <w:t>a. L’art. 9 LTaxis définit les situations exigeant l’octroi d’une autorisation pour exploiter un service de transport de personnes. Selon l’art. 9 al. 1 LTaxis, l’exploitation d’un tel service est subordonnée à la délivrance préalable de l’une des autorisations suivantes : autorisation d’exploiter un taxi de service privé en qualité d’indépendant (let. a) ; (…) autorisation d’exploiter une limousine en qualité d’indépendant (let. e).</w:t>
      </w:r>
    </w:p>
    <w:p>
      <w:r>
        <w:t>b. En l’espèce, il n’est pas contesté que le recourant a effectué du transport professionnel de personne lors de la course litigieuse au moyen d’une limousine, ni qu’il était alors au bénéfice d’une autorisation d’exploiter un taxi de service privé au sens de l’art. 9 al. 1 let. a LTaxis mais non d’une autorisation d’exploiter une limousine au sens de l’art. 9 al. 1 let. e LTaxis. Bien que la différence entre le service de taxis et de limousine soit ténue (Mémorial du Grand Conseil [ci-après : MGC] 2003-2004 VII 3195 s ; MGC 2004-2005 IV 1673) et que la commande de la course litigieuse ait été faite sur la base du trajet défini entre un lieu de départ et un lieu d’arrivée par le directeur de la B______ ayant effectué ladite course, le fait d’avoir utilisé une limousine et convenu d’un prix fixé à l’avance d’entente entre les parties penchent plutôt pour admettre, en l’espèce, la fourniture d’un service de limousine par le recourant. Dès lors, ce dernier a violé l’art. 9 al. 1 let. e LTaxis en effectuant la course litigieuse. Sur ce point, le recours doit être rejeté et la décision querellée confirmée. 6)</w:t>
      </w:r>
    </w:p>
    <w:p>
      <w:r>
        <w:t>Il faut également vérifier si le recourant a violé l’art. 42 al. 6 LTaxis lors de la course litigieuse.</w:t>
      </w:r>
    </w:p>
    <w:p>
      <w:r>
        <w:t>a. Selon l’art. 42 al. 6 LTaxis, les tarifs des limousines sont fixés librement entre l’exploitant et le client par entente préalable.</w:t>
      </w:r>
    </w:p>
    <w:p>
      <w:r>
        <w:t>b. D’après le rapport relatif à ladite course rédigé par le directeur de la B______, qui fonde la violation reprochée au recourant, il ressort qu’une fourchette de prix située entre CHF 51.- et CHF 67.- a été annoncée et que le prix payé par ledit client a été de CHF 29.-. Le fait que ce montant-ci ne soit pas</w:t>
      </w:r>
    </w:p>
    <w:p>
      <w:r>
        <w:t>- 9/13 - A/103/2015 compris dans la fourchette précitée découle des événements susmentionnés rapportés par M. C______ lors de l’audience du 23 octobre 2015, qui ne sont toutefois pas déterminants pour la présente question, dans la mesure où les parties ont convenu un prix avant la course et que le prix final n’a pas dépassé l’accord préalable sur le prix. Le fait que cet accord ait porté sur une fourchette de prix, et non sur un prix unique, ne consacre pas une violation de l’art. 42 al. 6 LTaxis qui laisse les parties « libres » de fixer le tarif des limousines, étant précisé qu’aucune norme n’oblige les parties à s’entendre sur un prix unique ni ne fixe une méthode précise à ce sujet. Dès lors, le recourant n’a pas violé l’art. 42 al. 6 LTaxis lors de la course litigieuse. Le recours doit être admis sur ce point. 7)</w:t>
      </w:r>
    </w:p>
    <w:p>
      <w:r>
        <w:t>Selon le recourant, le service, en faisant intervenir les agents de la B______, a cherché à provoquer les infractions qui lui sont reprochées. Cette thèse de la provocation ne peut, en l’espèce, être retenue. En effet, l’inscription de l’intéressé en tant que chauffeur utilisant l’application Uber ne résulte ni d’un acte du service ni d’un acte de la B______. Le recourant était déjà inscrit en tant que chauffeur employant l’application Uber, lorsque le directeur de la B______ a passé la commande de la course litigieuse. De plus, comme l’a indiqué en audience le directeur du service, aucun chauffeur ayant été identifié dans le cadre de l’enquête confiée à la B______ n’avait, avant la commande des courses effectuées par cette société-ci, été personnellement désigné. Par conséquent, la violation de l’art. 9 al. 1 let. e LTaxis commise par le recourant découle exclusivement de sa seule et propre démarche, à savoir la fourniture d’un service de transport professionnel de personnes en utilisant l’application Uber, sur laquelle ni le service ni la B______ n’ont eu une quelconque influence. Par ailleurs, étant titulaire d’une autorisation d’exploiter un taxi de service privé au sens de l’art. 9 al. 1 let. a LTaxis, le recourant ne pouvait de bonne foi ignorer le fait que l’activité de chauffeur de limousine exigeait l’octroi d’une autorisation autre que celle qu’il détenait. 8)</w:t>
      </w:r>
    </w:p>
    <w:p>
      <w:r>
        <w:t>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w:t>
      </w:r>
    </w:p>
    <w:p>
      <w:r>
        <w:t>La question de savoir si les dispositions légales précitées, combinées à celles des art. 19 ss LPA, autorisaient le service, dans l’exécution de cette fonction de contrôle, à mandater une société de surveillance et d’enquête privée pour</w:t>
      </w:r>
    </w:p>
    <w:p>
      <w:r>
        <w:t>- 10/13 - A/103/2015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w:t>
      </w:r>
    </w:p>
    <w:p>
      <w:r>
        <w:t>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7ème éd., 2016, n. 1040 ss ; Gerold STEINMANN, in Bernhard EHRENZELLER et al. [éd.], Die schweizerische Bundesverfassung - St. Galler Kommentar, vol. 1, 3ème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w:t>
      </w:r>
    </w:p>
    <w:p>
      <w:r>
        <w:t>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w:t>
      </w:r>
    </w:p>
    <w:p>
      <w:r>
        <w:t>- 11/13 - A/103/2015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w:t>
      </w:r>
    </w:p>
    <w:p>
      <w:r>
        <w:t>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w:t>
      </w:r>
    </w:p>
    <w:p>
      <w:r>
        <w:t>Il sera admis que le recourant a commis, le 12 septembre 2014, une violation de l’art. 9 al. 1 let. e LTaxis pour laquelle il peut être sanctionné conformément à l’art. 45 al. 1 LTaxis. 9)</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Code pénal suisse du 21 décembre 1937 (CP - RS 311.0)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(ATA/1024/2016 du 6 décembre 2016 ; ATA/263/2016 du 22 mars 2016 et les références citées ; Pierre MOOR/Étienne POLTIER, Droit administratif, vol. 2, 2011, ch. 1.4.5.5 p. 160 s).</w:t>
      </w:r>
    </w:p>
    <w:p>
      <w:r>
        <w:t>En l’espèce, dans la mesure où une seule infraction à la LTaxis peut être retenue à l’encontre du recourant, la chambre administrative, qui a la compétence</w:t>
      </w:r>
    </w:p>
    <w:p>
      <w:r>
        <w:t>- 12/13 - A/103/2015 de réformer les décisions faisant l’objet d’un recours devant elle (art. 67 LPA), réduira le montant de l’amende infligée au recourant de CHF 1’900.- à CHF 1’500.-, en tenant compte de l’absence d’antécédents figurant au dossier et de la nécessité d’assurer que les chauffeurs proposant des prestations de transport de personnes soient titulaires des autorisations légales correspondant aux prescriptions légales, ce qui constitue l’un des principes de base de la législation en matière de taxis afin d’assurer un service de taxi de qualité. 10) Au vu de ce qui précède, le recours sera partiellement admis et la décision litigieuse partiellement annulée au sens des considérants.</w:t>
      </w:r>
    </w:p>
    <w:p>
      <w:r>
        <w:t>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