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ATA/52/2024 vom 16. Januar 2024</w:t>
      </w:r>
    </w:p>
    <w:p>
      <w:r>
        <w:t>GE Cour de justice, 2024-01-16, FR</w:t>
      </w:r>
    </w:p>
    <w:p>
      <w:r>
        <w:rPr>
          <w:b/>
        </w:rPr>
        <w:t xml:space="preserve">Quelle: </w:t>
      </w:r>
      <w:r>
        <w:t>https://mcp.opencaselaw.ch/entscheid/ge_gerichte_ATA_52_2024</w:t>
      </w:r>
    </w:p>
    <w:p>
      <w:r>
        <w:t>FR: GE_GERICHTE ATA/52/2024 du 16 janvier 2024</w:t>
      </w:r>
    </w:p>
    <w:p>
      <w:r>
        <w:t>IT: GE_GERICHTE ATA/52/2024 del 16 gennaio 2024</w:t>
      </w:r>
    </w:p>
    <w:p>
      <w:pPr>
        <w:pStyle w:val="Heading2"/>
      </w:pPr>
      <w:r>
        <w:t>Regeste</w:t>
      </w:r>
    </w:p>
    <w:p>
      <w:r>
        <w:t>Résumé: Confirmation de la qualification de prêt simulé et des conséquences qui en découlent, soit la taxation du montant du prêt à titre de revenu et le refus de déduction du prêt de la fortune. Indices de prêts simulé présents et remboursement intervenu de manière abusive, en réaction à l'appréciation de prêt simulé de l'AFC-GE pour faire échec à cette appréciation.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7 al. 2 de la loi de procédure fiscale du 4 octobre 2001 -</w:t>
      </w:r>
    </w:p>
    <w:p>
      <w:r>
        <w:t>- 7/13 - A/1789/2022 LPFisc - D 3 17 ; art. 145 de la loi fédérale sur l’impôt fédéral direct du 14 décembre 1990 - LIFD - RS 642.11). 2. Le litige porte sur la conformité au droit de la qualification de prêt simulé de la société au recourant et des conséquences qui en découlent, soit la taxation du montant du prêt à titre de revenu pour le calcul de l'ICC et l'IFD 2019 et le refus de déduction du même montant de la fortune en tant que dette chirographaire pour le calcul de l'ICC 2019. 3. La question étant traitée de manière semblable en droit fédéral et en droit cantonal, le présent arrêt traite simultanément des deux impôts, comme cela est admis par la jurisprudence (ATF 135 II 260 consid. 1.3.1 ; arrêts du Tribunal fédéral 2C_678/2020 du 16 novembre 2021 consid. 9 ; 2C_662/2014 du 25 avril 2015 consid. 1). 4. Les recourants affirment que le contribuable aurait commencé à rembourser le prêt, ce qui démontrerait l'absence de simulation. 4.1 En vertu des art. 20 al. 1 let. c LIFD et 22 al. 1 let. c de la loi sur l'imposition des personnes physiques du 27 septembre 2009 (LIPP - D 3 08),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4.2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 LIPP). 4.3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 138 II 57 consid. 2.2). 4.4 Une société de capitaux est libre d'accorder un prêt à son actionnaire, dans la mesure et aux conditions auxquelles un tiers pourrait accéder dans les mêmes circonstances. Le prêt représente toutefois une prestation appréciable en argent</w:t>
      </w:r>
    </w:p>
    <w:p>
      <w:r>
        <w:t>- 8/13 - A/1789/2022 dans la mesure où l'opération s'écarte des conditions qui auraient été offertes à un tiers ou s'écarte des usages et des affaires habituelles conformes au marché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La prestation appréciable en argent peut consister soit dans la mise à disposition d'un montant sans que son remboursement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(ATF 138 II 57 consid. 3.2, 6.1, 6.2, 7.4.1 et 7.5; arrêt du Tribunal fédéral 2C_872/2021 du 2 mars 2021 consid. 3.2). 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pour d'autres raisons (ATF 138 II 57 consid. 5). La jurisprudence parle, pour qualifier ces situations, de prêts « simulés » (ATF 138 II 57 consid. 5 et 5.1), mais il n'est pas nécessaire pour autant de prouver que les conditions strictes d'une simulation au sens du droit civil (art. 18 al. 1 de la loi fédérale du 30 mars 1911, complétant le Code civil suisse - CO, Code des obligations - RS 220 ; sur la notion, arrêts du Tribunal fédéral 4A_484/2018 du</w:t>
      </w:r>
    </w:p>
    <w:p>
      <w:r>
        <w:rPr>
          <w:b/>
        </w:rPr>
        <w:t>E. 10</w:t>
      </w:r>
    </w:p>
    <w:p>
      <w:r>
        <w:t>décembre 2019 consid. 4.1 ; 2C_42/2014 du 17 octobre 2014 consid. 3.3) soient remplies (arrêt du Tribunal fédéral 2C_678/2020 du 16 novembre 2021 consid. 7.2). 4.5 La manière dont le prêt est traité au plan comptable dans le bilan de la société prêteuse et celle dont le débiteur le fait figurer dans sa déclaration d'impôt sont des éléments pertinents pour juger si l'on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 arrêt du Tribunal fédéral 2C_872/2020 du 2 mars 2021 consid. 3.4.1).</w:t>
      </w:r>
    </w:p>
    <w:p>
      <w:r>
        <w:t>- 9/13 - A/1789/2022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arrêt du Tribunal fédéral 2C_872/2020 du 2 mars 2021 consid. 3.4.1). Le fait que le bénéficiaire du prêt utilise les fonds mis à disposition pour maintenir son train de vie ou rééchelonner des dettes privées est un indice de simulation (ATF 138 II 57 consid. 5.1.2 ; arrêt du Tribunal fédéral 2C_872/2020 du 2 mars 2021 consid. 3.4.1). D'autres indices plaident aussi en faveur d'un prêt simulé, même si, isolément, ils ne sont pas décisifs. À elle seule, l'absence d'une convention écrite ne s'avère ainsi que peu concluante, puisqu'elle peut reposer sur d'autres raisons qu'une intention de simulation (ATF 138 II 57 consid. 5.1.1). Le fait que le but statutaire de la prêteuse ne comprenne pas l'octroi de crédits ne permet pas non plus de conclure nécessairement à une simulation (ATF 138 II 57 consid. 5.1.2 et 7.4.2). Le fait que le prêt représente un montant inhabituel au regard de la structure du bilan, par exemple lorsque le prêt constitue le seul actif notable de la société ou qu'il dépasse les fonds propres, est aussi un indice de simulation possible (ATF 138 II 57 consid. 5.1.3), étant précisé que, pour évaluer la part que représente le prêt au bilan de la société prêteuse, les réserves latentes constatées sur les actifs doivent être prises en compte (arrêts du Tribunal fédéral 2C_481/2016 du 16 février 2017 consid. 7.1 ; 2C_927/2013 du 21 mai 2014 consid. 5.7.1).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(ATF 138 II 57 consid. 5.2.1 ; arrêts du Tribunal fédéral 2C_98/2019 du 23 septembre 2019 consid. 6.2 ; 2C_927/2013 du 21 mai 2014 consid. 5.2 ; 2A.584/2000 du 16 mai 2001 consid. 3e). Le remboursement ultérieur du prêt exclut en principe l'admission d'une simulation originelle, à moins que ce remboursement ne soit intervenu de manière abusive, c'est-à-dire après que l'autorité fiscale a estimé que le prêt a été simulé et pour tenter de faire échec à cette appréciation (ATF 138 II 57 consid. 7.3.2).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(ATF 138 II 57 consid. 5.2.2 et 7.4.4 ; arrêt du Tribunal fédéral 2C_927/2013 du 21 mai 2014 consid. 5.3 in fine). Le constat que la dette n'a pas au moins partiellement diminué avec le temps est un indice de simulation ultérieure (ATF 138 II 57 consid. 5.2.2 et les références), de même que le constat</w:t>
      </w:r>
    </w:p>
    <w:p>
      <w:r>
        <w:t>- 10/13 - A/1789/2022 selon lequel le prêt a considérablement augmenté, malgré la situation financière difficile du débiteur (ATF 138 II 57 consid. 5.2.2 et les références). Le fait que les intérêts passifs soient rajoutés à la dette principale et non pas payés est aussi un indice de simulation (arrêt du Tribunal fédéral 2C_843/2012 du 20 décembre 2012 consid 3.2).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 arrêts du Tribunal fédéral 2C_872/2020 du 2 mars 2021 consid. 3.5.2 ; 2C_461/2008 du 23 décembre 2008 consid. 2.2). Si l'autorité fiscale constate qu'un prêt initialement convenu par les parties est devenu simulé ultérieurement, la reprise intervient pour la période fiscale pour laquelle le constat de simulation est opéré (arrêts du Tribunal fédéral 2C_872/2020 du 2 mars 2021 consid. 3.5.2 ; 2C_842/2012 du 20 décembre 2012 consid. 3.3 et 3.4 in RF 68/2013 p. 227 ; 2C_461/2008 du 23 décembre 2008 consid. 3.2 in RF 64/2009 p. 308, traduit in RDAF 2009 II 482 ; 2C_252/2014 du</w:t>
      </w:r>
    </w:p>
    <w:p>
      <w:r>
        <w:rPr>
          <w:b/>
        </w:rPr>
        <w:t>E. 12</w:t>
      </w:r>
    </w:p>
    <w:p>
      <w:r>
        <w:t>février 2016 consid. 4.1, traduit in RDAF 2018 II 285, qui précise que l'admission d'une simulation ultérieure n'a pas d'effet "ex tunc"). 4.6 En l'espèce, il convient préalablement de constater que la position des recourants a beaucoup évolué au cours de la procédure. Après avoir initialement déclaré un prêt de CHF 157'079.- accordé le 31 décembre 2015 par la société au contribuable dans leur déclaration fiscale, ils ont soutenu que la somme litigieuse correspondait à un prêt à un tiers, F______, à hauteur de CHF 60'000.- selon la réclamation et de CHF 115'000.- à teneur du recours auprès du TAPI. Ils reconnaissent désormais devant la chambre administrative que le montant litigieux correspond à une dette envers C______, dette qui figure d'ailleurs au bilan de cette dernière. Ils contestent cependant qu'il s'agisse d'un prêt simulé : la dette aurait été en partie remboursée en 2022 et 2023 et devrait être soldée en 2024, ce qui démontrerait l'absence de tout caractère fictif du prêt litigieux. Or, le prêt a été accordé au recourant, soit à un actionnaire. Par ailleurs, si les contribuables indiquent que la dette devrait être soldée en 2024, intérêts compris, c'est la première fois au cours de la procédure qu'ils mentionnent des intérêts. Ils n'ont en particulier déclaré aucun intérêt dans leur déclaration fiscale et n'en ont pas mentionné durant la procédure devant l'autorité intimée ni devant le TAPI. Il doit dès lors être considéré que le prêt a été accordé sans intérêts. En outre, les recourants ont indiqué dans leur déclaration fiscale que le prêt avait été accordé le 31 décembre 2015. Dans la même déclaration, ils ont déclaré un total de CHF 6'816'368.- de dettes chirographaires et hypothécaire – toutes constituées, sous réserve d'un crédit de consommation de CHF 3'473.-, avant le prêt litigieux –, ceci pour une fortune de CHF 3'049'201.-, dont CHF 1'805'110.- de fortune immobilière, soit deux immeubles occupés depuis 1995 et 2006. La</w:t>
      </w:r>
    </w:p>
    <w:p>
      <w:r>
        <w:t>- 11/13 - A/1789/2022 situation financière transparaissant dans la déclaration fiscale conduit à concevoir des doutes sérieux sur la solvabilité du contribuable. Le prêt a donc été accordé, puis a augmenté, en dépit de la situation financière difficile des recourants, et sans que des garanties soient prévues. Finalement, ces derniers n'allèguent pas que le prêt aurait fait l'objet d'un contrat écrit et n'ont pas exposé qu'un plan de remboursement aurait été prévu. L'ensemble de ces éléments démontre que l'opération s'écarte des conditions qui auraient été offertes à un tiers dans des affaires habituelles conformes au marché. À cela s'ajoute que le but de la société est la fourniture de tous services et conseils en matière de gestion d'entreprise et de patrimoine, ce qui ne couvre a priori pas l'octroi de crédits. Ces éléments devraient conduire à retenir qu'il ne pouvait pas être compté sur un remboursement et à qualifier le prêt de simulé, ce que confirme encore le fait que, durant la procédure de réclamation puis de recours devant l'instance précédente, les recourants ont adopté une argumentation niant l'existence même de ce prêt. Ils indiquent avoir commencé à rembourser ledit prêt par compensation avec le montant net des bonus perçus en 2022 et 2023. Toutefois, ce remboursement a commencé en 2022, soit dans le contexte des décisions sur réclamation et du recours interjeté devant le TAPI, ceci alors même que le recourant niait devant ces autorités l'existence du prêt. Par ailleurs, le certificat de salaire 2022 produit pour démontrer l'existence du bonus 2022 indique certes un salaire de CHF 82'000.- mais aucune prestation non périodique ou en capital, rubriques sous lesquelles devrait figurer le bonus. Finalement, après avoir selon ses allégations déjà perçu un bonus de CHF 60'000.- en 2022, il a à nouveau bénéficié d'un bonus du même montant en mars 2023, les deux bonus ayant été perçus par compensation avec la dette résultant du prêt litigieux, soit sans réels mouvements d'argent. Ces éléments conduisent à conclure que le remboursement est intervenu en réaction à l'appréciation par l’AFC-GE de prêt simulé, pour tenter de faire échec à cette appréciation. Il est donc intervenu de manière abusive au sens de la jurisprudence susmentionnée. Par conséquent, le remboursement allégué n'est pas de nature à remettre en cause la conclusion d'existence d'un prêt simulé. C'est donc à juste titre que l'AFC-GE a retenu que le montant litigieux devait être considéré comme une prestation appréciable en argent faisant parti du revenu imposable pour l'ICC et l'IFD 2019 et qu'il ne pouvait être porté en déduction de la fortune comme dette chirographaire pour l'ICC 2019. Dans ces circonstances, le recours, mal fondé, sera rejeté. 5. Vu l'issue du litige, un émolument de CHF 1'000.- sera mis à la charge solidaire des recourants (art. 87 al. 1 LPA) et aucune indemnité de procédure ne sera allouée (art. 87 al. 2 LPA). * * * * *</w:t>
      </w:r>
    </w:p>
    <w:p>
      <w:r>
        <w:t>- 12/13 - A/1789/2022</w:t>
      </w:r>
    </w:p>
    <w:p>
      <w:r>
        <w:t>- 13/13 - A/1789/2022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