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ATA/528/2020 vom 26. Mai 2020</w:t>
      </w:r>
    </w:p>
    <w:p>
      <w:r>
        <w:t>GE Cour de justice, 2020-05-26, FR</w:t>
      </w:r>
    </w:p>
    <w:p>
      <w:r>
        <w:rPr>
          <w:b/>
        </w:rPr>
        <w:t xml:space="preserve">Quelle: </w:t>
      </w:r>
      <w:r>
        <w:t>https://mcp.opencaselaw.ch/entscheid/ge_gerichte_ATA_528_2020</w:t>
      </w:r>
    </w:p>
    <w:p>
      <w:r>
        <w:t>FR: GE_GERICHTE ATA/528/2020 du 26 mai 2020</w:t>
      </w:r>
    </w:p>
    <w:p>
      <w:r>
        <w:t>IT: GE_GERICHTE ATA/528/2020 del 26 maggio 2020</w:t>
      </w:r>
    </w:p>
    <w:p>
      <w:pPr>
        <w:pStyle w:val="Heading2"/>
      </w:pPr>
      <w:r>
        <w:t>Erwägungen</w:t>
      </w:r>
    </w:p>
    <w:p>
      <w:r>
        <w:rPr>
          <w:b/>
        </w:rPr>
        <w:t>E. 26</w:t>
      </w:r>
    </w:p>
    <w:p>
      <w:r>
        <w:t>septembre 2010 - LOJ - E 2 05).</w:t>
      </w:r>
    </w:p>
    <w:p>
      <w:r>
        <w:t>b. La décision du TAPI du 27 février 2020 de rejeter la requête des SIG en retrait de l’effet suspensif au recours interjeté par la commune contre l'autorisation de construire DD’ n° 110’263-2 est une décision incidente.</w:t>
      </w:r>
    </w:p>
    <w:p>
      <w:r>
        <w:t>Le délai de recours contre une telle décision est de dix jours (art. 62 al. 1 let. b de la loi sur la procédure administrative du 12 septembre 1985 (LPA - E 5 10).</w:t>
      </w:r>
    </w:p>
    <w:p>
      <w:r>
        <w:t>c. Interjeté en temps utile devant la juridiction compétente, le recours est recevable de ces points de vue. 2)</w:t>
      </w:r>
    </w:p>
    <w:p>
      <w:r>
        <w:t>Le présent recours porte sur le bien-fondé de la décision du TAPI de refuser de retirer l’effet suspensif au recours pendant la procédure par-devant le TAPI. 3)</w:t>
      </w:r>
    </w:p>
    <w:p>
      <w:r>
        <w:t>Le recours contre une décision incidente n’est ouvert que si ladite décision, à supposer qu’elle soit exécutée, cause un préjudice irréparable à son destinataire. Il est également ouvert si l’admission du recours peut conduire immédiatement à</w:t>
      </w:r>
    </w:p>
    <w:p>
      <w:r>
        <w:t>- 11/15 - A/360/2020 une décision finale qui permet d’éviter une procédure probatoire longue et coûteuse (art. 57 let. c LPA).</w:t>
      </w:r>
    </w:p>
    <w:p>
      <w:r>
        <w:t>L’art. 57 let. c LPA a la même teneur que l’art. 93 al. 1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En l’espèce, l’admission du recours ne mettrait pas fin au litige, lequel porte, à teneur des conclusions prises par la commune, sur la validité de l’autorisation de construire n° DD 110’263-2. La seconde hypothèse visée par l’art. 57 let. c LPA n’est ainsi pas réalisée.</w:t>
      </w:r>
    </w:p>
    <w:p>
      <w:r>
        <w:t>Déterminer si la décision litigieuse est susceptible de causer un préjudice irréparable aux SIG souffrira de rester indécise compte tenu de ce qui suit. 4)</w:t>
      </w:r>
    </w:p>
    <w:p>
      <w:r>
        <w:t>Sauf disposition légale contraire, le recours a effet suspensif à moins que l’autorité qui a pris la décision attaquée n’ait ordonné l’exécution nonobstant recours (art. 66 al. 1 LPA).</w:t>
      </w:r>
    </w:p>
    <w:p>
      <w:r>
        <w:t>L’art. 148 LCI constitue une disposition légale contraire. Il prévoit que le recours dirigé contre une autorisation définitive concernant un ouvrage déclaré d’utilité publique par le Grand Conseil n’a pas d’effet suspensif, à moins qu’il ne soit restitué sur requête du recourant.</w:t>
      </w:r>
    </w:p>
    <w:p>
      <w:r>
        <w:t>L’art. 148 LCI constituant une exception au régime général expressément voulue par le législateur, il n’y a en principe pas lieu de s’écarter de cette volonté (ATA/687/2011 du 8 novembre 2011 concernant toutefois l’exception prévue par l’art. 146 al. 2 LCI).</w:t>
      </w:r>
    </w:p>
    <w:p>
      <w:r>
        <w:t>- 12/15 - A/360/2020</w:t>
      </w:r>
    </w:p>
    <w:p>
      <w:r>
        <w:t>En l’espèce, les parties ne contestent pas que l’ouvrage concerné n’a pas été déclaré d’utilité publique.</w:t>
      </w:r>
    </w:p>
    <w:p>
      <w:r>
        <w:t>Le recours a en conséquence, par principe, effet suspensif. 5) a. Lorsqu’aucun intérêt public ou privé prépondérant ne s’y oppose, la juridiction de recours peut, sur la demande de la partie dont les intérêts sont gravement menacés, retirer ou restituer l’effet suspensif (art. 66 al. 2 LPA).</w:t>
      </w:r>
    </w:p>
    <w:p>
      <w:r>
        <w:t>Selon la jurisprudence, il y a lieu d’effectuer une pesée entre les intérêts public et privé en jeu, étant précisé que l’autorité peut aussi tenir compte des chances de succès du recours (ATA/962/2016 du 14 novembre 2016 ; ATA/192/2014 du 31 mars 2014 ; ATA/650/2011 du 17 octobre 2011 consid. 2).</w:t>
      </w:r>
    </w:p>
    <w:p>
      <w:r>
        <w:t>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w:t>
      </w:r>
    </w:p>
    <w:p>
      <w:r>
        <w:t>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(ATA/962/2016 précité ; ATA/192/2014 précité ; ATA/650/2011 précité consid. 2 ; Fritz GYGI, Beiträge zum Verfassungs und Verwaltungsrecht, 1986, p. 481) en créant une situation de fait quasi irréversible (arrêt du Tribunal fédéral 2C_356/2007 du 18 septembre 2007).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De façon générale,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(ATA/614/2014 du 31 juillet 2014 ;</w:t>
      </w:r>
    </w:p>
    <w:p>
      <w:r>
        <w:t>- 13/15 - A/360/2020 ATA/192/2014 du 31 mars 2014). La préférence est donc normalement donnée au maintien de l'état de faits prévalant avant le litige (ATA/474/2020 du 19 mai 2020 ; ATA/614/2014 du 31 juillet 2014 et les arrêts cités).</w:t>
      </w:r>
    </w:p>
    <w:p>
      <w:r>
        <w:t>b. En l’espèce, il existe un intérêt public très important à la réduction de la consommation d’énergies fossiles et à la diminution des émanations en CO2. Une limitation des coûts à charge des SIG pour tout retard dans l’exécution des travaux, voire clauses pénales avec des clients constitue aussi un intérêt public et privé important. Conformément toutefois à la jurisprudence précitée, les retards éventuels ou les coûts engendrés par la procédure sont des circonstances qui sont écartées, lors d’un recours contre une décision sur effet suspensif, au stade de l’examen de la recevabilité déjà. En conséquence, a fortiori, ni les arguments en lien avec le retard que prendra le chantier ni les surcoûts financiers induits par la procédure en cours ne sont déterminants lors de l’analyse du bien-fondé de la décision du TAPI.</w:t>
      </w:r>
    </w:p>
    <w:p>
      <w:r>
        <w:t>Le principe légal veut qu’un recours ait effet suspensif. Ce principe est d’autant plus fondé en matière de constructions conformément à la jurisprudence précitée.</w:t>
      </w:r>
    </w:p>
    <w:p>
      <w:r>
        <w:t>Certes, la construction querellée n’est que temporaire et limitée à vingt-quatre mois. Cet argument n’emporte toutefois pas conviction. Il s’agit d’un chantier d’envergure, tant sur l’espace nécessaire au sol que sur le lac. Il est prévu pour durer deux ans, et touche un site protégé par la LPRLac.</w:t>
      </w:r>
    </w:p>
    <w:p>
      <w:r>
        <w:t>Les arguments avancés par la commune, même si les préavis sont favorables, doivent pouvoir faire l’objet d’un contrôle juridictionnel avant la mise en œuvre, voire l’achèvement, des travaux litigieux, ce d’autant plus pour un chantier de cette importance.</w:t>
      </w:r>
    </w:p>
    <w:p>
      <w:r>
        <w:t>Certes, l’autorisation litigieuse fait suite à celle portant sur la STAP elle- même, mentionnant un point d’arrivée sur le quai de Cologny et contre laquelle ladite commune n’a pas interjeté recours. L’articulation avec la première autorisation n’est toutefois, prima facie, pas claire, notamment quant à savoir quelles parcelles précisément étaient comprises dans la première autorisation de construire et quel chantier aurait été prévu, voire autorisé.</w:t>
      </w:r>
    </w:p>
    <w:p>
      <w:r>
        <w:t>L’intérêt public au contrôle juridictionnel prime ainsi les autres intérêts évoqués. Les conclusions du département, conformes à celles des SIG, ne permettent pas non plus d’inverser le principe légal selon lequel le recours a effet suspensif, ni la jurisprudence qui renforce encore ce principe en matière de constructions.</w:t>
      </w:r>
    </w:p>
    <w:p>
      <w:r>
        <w:t>Compte tenu du pouvoir d’appréciation du TAPI, et de l’absence d’intérêts à une exécution immédiate de la décision au détriment d’un contrôle juridictionnel,</w:t>
      </w:r>
    </w:p>
    <w:p>
      <w:r>
        <w:t>- 14/15 - A/360/2020 c’est à bon droit que le TAPI a rejeté la requête des SIG pour des motifs que la chambre de céans fait siens.</w:t>
      </w:r>
    </w:p>
    <w:p>
      <w:r>
        <w:t>Il conviendra toutefois que le présent dossier soit traité rapidement compte tenu de l’importance des intérêts publics concernés. 6)</w:t>
      </w:r>
    </w:p>
    <w:p>
      <w:r>
        <w:t>Vu l’issue du recours, il ne sera pas perçu d’émolument (art. 87 al. 1 LPA). Une indemnité de CHF 1'000.- sera allouée à la commune qui y a conclu, a dû recourir aux services d’un mandataire et qui compte moins de dix mille habitants de sorte qu’elle n’est pas tenue de disposer d’un service juridique (ATA/413/2013 du 2 juillet 2013 consid. 9). L’indemnité sera mise à la charge des SIG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