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ATA/528/2016 vom 21. Juni 2016</w:t>
      </w:r>
    </w:p>
    <w:p>
      <w:r>
        <w:t>GE Cour de justice, 2016-06-21, FR</w:t>
      </w:r>
    </w:p>
    <w:p>
      <w:r>
        <w:rPr>
          <w:b/>
        </w:rPr>
        <w:t xml:space="preserve">Quelle: </w:t>
      </w:r>
      <w:r>
        <w:t>https://mcp.opencaselaw.ch/entscheid/ge_gerichte_ATA_528_2016</w:t>
      </w:r>
    </w:p>
    <w:p>
      <w:r>
        <w:t>FR: GE_GERICHTE ATA/528/2016 du 21 juin 2016</w:t>
      </w:r>
    </w:p>
    <w:p>
      <w:r>
        <w:t>IT: GE_GERICHTE ATA/528/2016 del 21 giugno 2016</w:t>
      </w:r>
    </w:p>
    <w:p>
      <w:pPr>
        <w:pStyle w:val="Heading2"/>
      </w:pPr>
      <w:r>
        <w:t>Regeste</w:t>
      </w:r>
    </w:p>
    <w:p>
      <w:r>
        <w:t>Résumé: En tant que soumissionnaire évincé, et bien que le contrat ait déjà été conclu, la recourante conserve un intérêt actuel à recourir contre la décision d'adjudication, son recours étant à même d'ouvrir ses droits à une indemnisation. Dans le cadre de son libre pouvoir d'appréciation, le pouvoir adjudicateur n'a pas fait preuve d'incohérence ni d'arbitraire dans ses évaluations et notations. Sa décision ne prête pas le flanc à la critique, celui-ci ayant justifié, pour chaque grief soulevé par la recourante, son appréciation, étant rappelé que la chambre de céans ne revoit pas l'opportunité des décisions attaquées.</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(ATA/476/2015 du 19 mai 2015 consid. 3c). Tel est le cas de celle à laquelle la décision attaquée apporte des inconvénients qui pourraient être évités grâce au succès du recours, qu’il s’agisse d’intérêts juridiques ou de simples intérêts de fait (ATA/950/2014 du 2 décembre 2014 consid. 3a et les références citées).</w:t>
      </w:r>
    </w:p>
    <w:p>
      <w:r>
        <w:t>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ATA/1056/2015 du 6 octobre 2015 consid. 3c et les références citées). Le recourant qui conteste une décision d’adjudication et qui déclare vouloir maintenir son recours après la conclusion du contrat conclut, au moins implicitement, à la constatation de l’illicéité de l’adjudication, que des dommages et intérêts soient réclamés ou non (arrêt du Tribunal fédéral 2P.307/2005 du 24 mai 2006 consid. 2 ; ATA/950/2014 du 2 décembre 2014 consid. 3b).</w:t>
      </w:r>
    </w:p>
    <w:p>
      <w:r>
        <w:t>c. Pour le Tribunal fédéral,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 Cet intérêt existe notamment lorsque le soumissionnaire évincé avait été classé au deuxième rang derrière l’adjudicataire et qu’il aurait, en cas d’admission de son recours (arrêts du Tribunal fédéral 2P.71/2005 du 27 janvier 2006 consid. 5 ; 2P.218/2001 du 31 janvier 2002 consid. 3.4 = SJ 2002 I 421), disposé d’une réelle chance d’obtenir le marché (ATF 141 II 14 consid. 4.1 p. 27 ; arrêts du Tribunal fédéral 2C_203/2014 précité consid. 2.2 ; 2D_39/2014 du 26 juillet 2014 consid. 1.1 et 2C_346/2013 du 20 janvier 2014 consid. 1.4.1). Le Tribunal fédéral a nié l’intérêt juridique à recourir d’un soumissionnaire placé au cinquième rang sur six offres évaluées et qui n’avait jamais conclu à l'adjudication du marché</w:t>
      </w:r>
    </w:p>
    <w:p>
      <w:r>
        <w:t>- 14/23 - A/1210/2015 public en sa faveur (arrêt du Tribunal fédéral 2C_203/2014 précité consid. 2.2 à 2.4).</w:t>
      </w:r>
    </w:p>
    <w:p>
      <w:r>
        <w:t>d. En espèce, l’intimé a conclu à l’irrecevabilité du recours concernant le lot no 3, en raison de l’important écart de points qui paraissait difficile à combler.</w:t>
      </w:r>
    </w:p>
    <w:p>
      <w:r>
        <w:t>La recourante a été placée au troisième rang sur trois offres valables, soit juste une place après celle occupée par une des sociétés adjudicataires. Dans la mesure où elle conteste la pondération accordée à certains critères et les notes obtenue, le recours ne peut être déclaré d’emblée irrecevable.</w:t>
      </w:r>
    </w:p>
    <w:p>
      <w:r>
        <w:t>De plus, le 20 octobre 2015, la recourante a conclu à ce que l’illicéité de la décision d’adjudication rendue le 31 mars 2015 par le PAIR soit constatée, en tant qu’elle porte sur l’adjudication des lots no 1 et no 3 de l’appel d’offres.</w:t>
      </w:r>
    </w:p>
    <w:p>
      <w:r>
        <w:t>Ainsi, en tant que soumissionnaire évincée, et bien que le contrat ait déjà été conclu, elle conserve un intérêt actuel à recourir contre la décision d’adjudication, son recours étant à même d’ouvrir ses droits à une indemnisation. Elle dispose donc de la qualité pour recourir. 4)</w:t>
      </w:r>
    </w:p>
    <w:p>
      <w:r>
        <w:t>Dans un premier grief, la recourante s’est plainte d’une violation de son droit d’être entendue, au motif que le PAIR n’avait pas respecté son obligation de motiver sa décision. Il n’avait pas expliqué de façon détaillée et pertinente le système d’évaluation mis en place, et certaines pièces ne lui avaient pas été transmises. Enfin alors qu’il existait des indices selon lesquels ses concurrentes avaient pu s’entendre sur le prix, le PAIR n’avait pas éclairci la situation.</w:t>
      </w:r>
    </w:p>
    <w:p>
      <w:r>
        <w:t>a. Tel que garanti par les art. 29 al. 2 de la Constitution fédérale de la Confédération suisse du 18 avril 1999 (Cst. - RS 101) et 6 par.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w:t>
      </w:r>
    </w:p>
    <w:p>
      <w:r>
        <w:t>- 15/23 - A/1210/2015</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qui prévoient que les décisions d'adjudication doivent être sommairement motivées.</w:t>
      </w:r>
    </w:p>
    <w:p>
      <w:r>
        <w:t>Le droit d’être entendu implique également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consid. 5.3 p. 236 ; 131 I 153 consid. 3 p. 157 ; arrêt du Tribunal fédéral 1C_136/2014 précité consid. 3.1).</w:t>
      </w:r>
    </w:p>
    <w:p>
      <w:r>
        <w:t>L’obligation pour les États signataires d’assurer le droit de consulter le dossier est rappelée à l’art. XX al. 6 let. c AMP. Même si ce droit ne fait pas l’objet d’une disposition spécifique dans la législation genevoise relative aux marchés publics, il résulte de l’art. 44 al. 1 LPA que son existence dans ce domaine est reconnue (Evelyne CLERC, L’ouverture des marchés publics : Effectivité et protection juridique, p. 511 ; ATA/473/2010 du 5 juillet 2010 consid. 4).</w:t>
      </w:r>
    </w:p>
    <w:p>
      <w:r>
        <w:t>b. En l'espèce, il est vrai que la motivation de la décision querellée est sommaire, en tant qu’elle se limite à expliquer que les offres retenues étaient économiquement les plus avantageuses, soit représentant les deux meilleurs rapports : qualité technique et écologique / coût / organisation et responsabilité sociale. Elle satisfait cependant à l’exigence peu élevée posée par l’AIMP et le RMP en matière de motivation. En effet, couplée aux explications et grilles</w:t>
      </w:r>
    </w:p>
    <w:p>
      <w:r>
        <w:t>- 16/23 - A/1210/2015 d’évaluation fournies, la recourante était en possession des éléments pour comprendre les raisons et le sens de la décision qu’elle conteste.</w:t>
      </w:r>
    </w:p>
    <w:p>
      <w:r>
        <w:t>Par ailleurs, durant la procédure de recours, la recourante a pu recevoir les précisions demandées, ainsi que les pièces lui permettant de comprendre son évaluation et a eu l’occasion de se déterminer. Elle disposait ainsi des éléments nécessaires pour contester sa mise à l’écart.</w:t>
      </w:r>
    </w:p>
    <w:p>
      <w:r>
        <w:t>Une entente illicite sur les prix entre concurrents constitue une violation du principe de la concurrence efficace. En tant que question de fond, ce grief sera traité ci-après. Cependant, il peut être déjà relevé que la recourante n’a fait état d’aucun indice suffisant qui aurait justifié une instruction approfondie de cette question par l’intimé, dès lors qu’elle fait valoir uniquement sa propre appréciation.</w:t>
      </w:r>
    </w:p>
    <w:p>
      <w:r>
        <w:t>Au vu de ce qui précède, le droit d’être entendu de la recourante a été respecté. De plus, la chambre administrative ayant ordonné que les pièces écartées de la procédure soient versées au dossier, elle dispose d’un dossier lui permettant de trancher ce litige en toute connaissance de cause. Ce grief sera par conséquent rejeté. 5)</w:t>
      </w:r>
    </w:p>
    <w:p>
      <w:r>
        <w:t>La recourante fait valoir plusieurs violations des principes devant être respectés dans le cadre des marchés publics. HP et Dell s’étaient vraisemblablement entendus sur les prix et n’avaient pas respecté certaines exigences énoncées dans l’appel d’offres. Elle reproche également au PAIR d’avoir fait preuve d’incohérence et d’arbitraire dans l’attribution des notes. 6) a. La législation en matière de marchés publics est fondée sur les principes énoncés à l’art. 1 AIMP. L’AIMP a pour but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Dans le domaine des marchés publics, la concurrence entre fournisseurs doit s’exercer à armes égales. Ainsi, un fournisseur ne peut être admis à concourir s’il viole ses obligations légales au détriment de ses concurrents qui les respectent. De même, un fournisseur qui ne participe pas au marché loyalement doit être exclu, notamment s’il a produit des dossiers comportant de faux renseignements ou si, par exemple, il a déposé des offres concertées avec d’autres entreprises (Étienne POLTIER, droit des marchés publics, 2014, n. 305).</w:t>
      </w:r>
    </w:p>
    <w:p>
      <w:r>
        <w:t>- 17/23 - A/1210/2015</w:t>
      </w:r>
    </w:p>
    <w:p>
      <w:r>
        <w:t>c. En vertu du principe de l’égalité de traitement entre soumissionnaires qui oblige l’autorité adjudicatrice à traiter de manière égale les soumissionnaires tout au long du déroulement formel de la procédure (ATA/51/2015 du 13 janvier 2015 et jurisprudence citée; Jean-Baptiste ZUFFEREY/Corinne MAILLARD / Nicolas MICHEL, op. cit., p. 109 ; Benoît BOVAY, La non-discrimination en droit des marchés publics in RDAF 2004, p. 241), une offre qui ne correspond pas aux exigences de l’appel d’offres doit être considérée comme incomplète et ne peut être prise en compte (arrêt du Tribunal fédéral du 12 avril 2002, résumé in BR/DC 2003 no 49 p. 156 Jean-Baptiste ZUFFEREY/Corinne MAILLARD/Nicolas MICHEL, op. cit., p.110 ; Olivier RODONDI, La gestion de la procédure de soumission, in Jean-Baptiste ZUFFEREY/Hubert STOECKLI, Droit des marchés publics, 2008, p.185 ; no 63, p. 186).</w:t>
      </w:r>
    </w:p>
    <w:p>
      <w:r>
        <w:t>La non-discrimination 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les marchés publics, annexe D, ch. 2).</w:t>
      </w:r>
    </w:p>
    <w:p>
      <w:r>
        <w:t>d.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éléments d’appréciation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d’éléments d’appréciation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ATA/368/2015 du 21 avril 2015 consid. 4c ; ATA/972/2014 du 9 décembre 2014).</w:t>
      </w:r>
    </w:p>
    <w:p>
      <w:r>
        <w:t>e. Les principes de non-discrimination, de transparence et de concurrence efficace impliquent que la procédure soit menée de manière impartiale. Cela implique l’absence de conflit d’intérêts entre les personnes qui participent aux</w:t>
      </w:r>
    </w:p>
    <w:p>
      <w:r>
        <w:t>- 18/23 - A/1210/2015 décisions au sein du pouvoir adjudicateur et les soumissionnaires, qui se concrétisent par l’interdiction de soumissionner, fondée sur les règles de la récusation, faite à toute personne qui a participé à l’élaboration de l’offre (art. 19 RMP). En outre, les règles ordinaires relatives à la récusation des membres d’une autorité administrative s’appliquent aux personnes qui participent aux décisions dans les différentes phases du processus d’adjudication (ATA/6/2015 du 6 janvier 2015 consid. 7). 7)</w:t>
      </w:r>
    </w:p>
    <w:p>
      <w:r>
        <w:t>L’évaluation des offres est faite selon les critères prédéfinis conformément à l’art. 24 RMP, et énumérés dans l’appel d’offres et/ou les documents d’appel d’offres (art. 43 al. 1 RMP). Le résultat de l’évaluation des offres fait l’objet d’un tableau comparatif (art. 43 al. 2 RMP).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(art. 43 al. 3 RMP).</w:t>
      </w:r>
    </w:p>
    <w:p>
      <w:r>
        <w:t>L’offre économiquement la plus avantageuse ne signifie pas qu’elle doit être la moins chère. Ce n’est qu’en présence de biens standardisés que l’adjudicateur peut alors se fonder exclusivement sur le critère du prix le plus bas (RDAF 1999 I p. 305 ; ATA/229/2015 du 3 mars 2015 consid. 14b). 8)</w:t>
      </w:r>
    </w:p>
    <w:p>
      <w:r>
        <w:t>La jurisprudence reconnaît une grande liberté d’appréciation au pouvoir adjudicateur (ATF 125 II 86 consid. 6 p. 98 ; ATA/851/2014 du 4 novembre 2014 consid. 9b). L’appréciation de la chambre administrative ne saurait donc se substituer à celle de ce dernier. Seul l’abus ou l’excès de pouvoir d’appréciation doit être sanctionné (ATF 130 I 241 consid. 6.1 p. 251 ; arrêts du Tribunal fédéral 2P.111/2003 du 21 janvier 2004 consid. 3.3 ; 2P.172/2002 du 10 mars 2003 consid. 3.2 ; RDAF 1999 I p. 301 ; ATA/851/2014 du 4 novembre 2014 consid. 9b). En outre, pour que le recours soit fondé, il faut encore que le résultat, considéré dans son ensemble, constitue un usage abusif ou excessif du pouvoir d’appréciation (JAAC 1999 p. 143 ; ATA/695/2015 du 30 juin 2015 consid. 3d).</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w:t>
      </w:r>
    </w:p>
    <w:p>
      <w:r>
        <w:t>- 19/23 - A/1210/2015 notation (ATF 2P.172/2002 précité consid. 2.3 ; ATA/851/2014 précité consid. 9b ; ATA/20/2014 du 14 janvier 2014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w:t>
      </w:r>
    </w:p>
    <w:p>
      <w:r>
        <w:t>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9)</w:t>
      </w:r>
    </w:p>
    <w:p>
      <w:r>
        <w:t>En l’espèce, le marché étant très compétitif, il n’apparaît pas suspicieux que les prix s’alignent. Les entreprises se fournissent souvent auprès des mêmes fabricants, qui pratiquent eux-mêmes les mêmes conditions. D’après le procès-verbal d’ouverture des offres, deux autres soumissionnaires ont proposés les écrans aux prix de CHF 138.- et CHF 149.-, soit proches de ceux énoncés par HP et Dell, respectivement CHF 133.- et 135.-. La recourante a proposé les ultras portables (lot no 3) au prix de CHF 760.-, alors que HP a fait une offre à CHF 720.-, soit des prix nettement avantageux par rapport à celui de Dell (CHF 830.-). Ainsi, il n’y a pas d’indices suffisants permettant de soupçonner une entente sur les prix entre HP et Dell. L’existence d’un accord limitant de manière illicite la concurrence n’ayant pas été confirmée, ce grief sera écarté. Ceci semble d’autant plus vrai que la recourante s’est vu adjuger le lot no 5 aux côtés de HP et au détriment de Dell.</w:t>
      </w:r>
    </w:p>
    <w:p>
      <w:r>
        <w:t>- 20/23 - A/1210/2015</w:t>
      </w:r>
    </w:p>
    <w:p>
      <w:r>
        <w:t>Selon l’intimé, les appelés en cause avaient précisé leurs prix en indiquant s’il s’agissait de vente directe ou indirecte alors que Lenovo ne l’avait pas fait. Il n’appartenait pas à l’autorité adjudicatrice d’examiner le canal de vente que les soumissionnaires devaient choisir. Elle se bornait à évaluer le prix offert. Mal fondé, ce grief sera écarté.</w:t>
      </w:r>
    </w:p>
    <w:p>
      <w:r>
        <w:t>Il était mentionné dans les critères de performance que les disques durs hybrides étaient acceptés. Selon les explications données par l’intimé, un disque dur hybride pouvait tourner à une vitesse inférieure à un disque classique, en étant tout aussi performant grâce à l’ajout d’un important cache mémoire qui permettait, en plus, une économie d’énergie. Le disque dur proposé par HP était un disque hybride et le disque proposé par Dell tournait à une vitesse de 7’200 RPM. Etant conforme aux critères énoncés, les offres de HP et Dell ne pouvaient être écartées. Ce grief sera par conséquent également rejeté.</w:t>
      </w:r>
    </w:p>
    <w:p>
      <w:r>
        <w:t>Le slot de carte mémoire disponible était exigé pour le lot no 1. Par conséquent, sa présence ne donnait droit à aucun point mais son absence était éliminatoire. Pour le lot n° 3, les concurrents devaient mentionner la taille maximum de mémoire possible. Dès lors qu’il était indiqué que ce critère serait pris en considération pour l’évaluation technique, l’intimé en avait tenu compte. L’appareil de la recourante n’ayant pas de slot libre, la barrette de 4GO devait être jetée pour permettre l’installation d’une extension, alors que ceux d’HP et de Dell disposaient d’un slot libre. Dès lors que ce dernier représentait une plus-value économique et écologique, des points leur avaient été attribués. Basée sur des faits pertinents, la notation n’apparait pas arbitraire, si bien que ce grief sera écarté.</w:t>
      </w:r>
    </w:p>
    <w:p>
      <w:r>
        <w:t>L’intimé n’a pas reproché à la recourante l’inexistence de l’option permettant de désactiver le trackpad, mais sa complexité d’utilisation. Dans son recours, la recourante se limite à substituer sa propre appréciation à celle de l’intimé, sans l’étayer par des éléments concrets.</w:t>
      </w:r>
    </w:p>
    <w:p>
      <w:r>
        <w:t>Il en va de même des notes insuffisantes obtenues, dès lors que des groupes d’experts différents avaient rendu leur appréciation dans les différents domaines, notamment en matière de sécurité sociale, en toute indépendance les uns des autres.</w:t>
      </w:r>
    </w:p>
    <w:p>
      <w:r>
        <w:t>La recourante n’ayant pas démontré l’arbitraire de ces appréciations, ces griefs seront également rejetés.</w:t>
      </w:r>
    </w:p>
    <w:p>
      <w:r>
        <w:t>Alors que dans le lot no 3, aucune étiquette n’avait été collée sur les appareils, dans le lot no 1, seul l’appareil de la recourante avait failli à cette exigence, raison pour laquelle les points avaient été attribués à ses concurrents.</w:t>
      </w:r>
    </w:p>
    <w:p>
      <w:r>
        <w:t>- 21/23 - A/1210/2015</w:t>
      </w:r>
    </w:p>
    <w:p>
      <w:r>
        <w:t>La recourante a également été moins bien notée pour les ports USB proposés, dès lors que, par rapport à ceux des soumissionnaires, les siens étaient mal placés et qu’elle en proposait deux de moins.</w:t>
      </w:r>
    </w:p>
    <w:p>
      <w:r>
        <w:t>Enfin, HP et Dell avaient obtenu des points pour avoir proposé un port PS/2 présentant des avantages tant écologiques qu’économiques.</w:t>
      </w:r>
    </w:p>
    <w:p>
      <w:r>
        <w:t>L’intimé a rappelé que les soumissionnaires savaient qu’ils pouvaient proposer des appareils plus complets, offrant des possibilités supplémentaires et que ces éléments seraient valorisés.</w:t>
      </w:r>
    </w:p>
    <w:p>
      <w:r>
        <w:t>Pour ces motifs, dans le cadre de son large pouvoir d’appréciation, l’intimé n’a pas fait preuve d’incohérence, ni d’arbitraire, dans ses évaluations et notations.</w:t>
      </w:r>
    </w:p>
    <w:p>
      <w:r>
        <w:t>Ainsi, à la lecture des explications données par l’intimé, il apparaît que sa décision ne prête pas le flanc à la critique, celui-ci ayant justifié, pour chaque grief soulevé par la recourante, son appréciation, étant rappelé que la chambre de céans ne revoit pas l’opportunité des décisions attaquées.</w:t>
      </w:r>
    </w:p>
    <w:p>
      <w:r>
        <w:t>Au vu de ce qui précède, l’évaluation des offres faite par l’autorité adjudicatrice n’est constitutive d’aucun excès ou abus de son pouvoir d’appréciation. 10) La décision d’adjudication étant, en tous points conforme au droit, le recours sera rejeté. 11) Un émolument de CHF 2’500.-, comprenant les frais liés à la demande de restitution de l'effet suspensif, sera mis à la charge de la recourante, qui succombe (art. 87 al. 1 LPA). En outre, une indemnité de procédure de CHF 1'000.-, à la charge de la recourante, sera allouée à Dell, appelée en cause qui y a conclu et qui est représentée par 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