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ATA/528/2010 vom 6. August 2010</w:t>
      </w:r>
    </w:p>
    <w:p>
      <w:r>
        <w:t>GE Cour de justice, 2010-08-06, FR</w:t>
      </w:r>
    </w:p>
    <w:p>
      <w:r>
        <w:rPr>
          <w:b/>
        </w:rPr>
        <w:t xml:space="preserve">Quelle: </w:t>
      </w:r>
      <w:r>
        <w:t>https://mcp.opencaselaw.ch/entscheid/ge_gerichte_ATA_528_2010</w:t>
      </w:r>
    </w:p>
    <w:p>
      <w:r>
        <w:t>FR: GE_GERICHTE ATA/528/2010 du 6 août 2010</w:t>
      </w:r>
    </w:p>
    <w:p>
      <w:r>
        <w:t>IT: GE_GERICHTE ATA/528/2010 del 6 agosto 2010</w:t>
      </w:r>
    </w:p>
    <w:p>
      <w:pPr>
        <w:pStyle w:val="Heading2"/>
      </w:pPr>
      <w:r>
        <w:t>Erwägungen</w:t>
      </w:r>
    </w:p>
    <w:p>
      <w:r>
        <w:rPr>
          <w:b/>
        </w:rPr>
        <w:t>E. 1</w:t>
      </w:r>
    </w:p>
    <w:p>
      <w:r>
        <w:t>Interjeté en temps utile devant l’autorité compétente, le recours est, à première vue, recevable (art. 15 al. 2 AIMP ; art. 3 al. 1 et 2 de la loi autorisant le Conseil d’Etat à adhérer à l’accord intercantonal sur les marchés publics du 12 juin 1997 (L-AIMP - L 6 05.0 ; art. 56 al. 1 RMP).</w:t>
      </w:r>
    </w:p>
    <w:p>
      <w:r>
        <w:rPr>
          <w:b/>
        </w:rPr>
        <w:t>E. 2</w:t>
      </w:r>
    </w:p>
    <w:p>
      <w:r>
        <w:t>En tant que soumissionnaire évincée d'un marché public, la recourante a qualité pour recourir contre la décision d'adjudication (art. 15 al. 1bis let. d AIMP ; art. 55 al. 1 let. c RMP ; art. 60 let. b LPA). (ATA/491/2010 du 26 juillet 2010).</w:t>
      </w:r>
    </w:p>
    <w:p>
      <w:r>
        <w:rPr>
          <w:b/>
        </w:rPr>
        <w:t>E. 2.1</w:t>
      </w:r>
    </w:p>
    <w:p>
      <w:r>
        <w:t>; 2P.161/2002 du 6 septembre 2002 consid. 2.1)</w:t>
      </w:r>
    </w:p>
    <w:p>
      <w:r>
        <w:rPr>
          <w:b/>
        </w:rPr>
        <w:t>E. 3</w:t>
      </w:r>
    </w:p>
    <w:p>
      <w:r>
        <w:t>Le recours n’a pas d’effet suspensif (art. 17 al. 1 AIMP ; art 58 al. 1 RMP), celui-ci pouvant être restitué par l’autorité de recours, d’office ou sur demande, pour</w:t>
      </w:r>
    </w:p>
    <w:p>
      <w:r>
        <w:t>- 4/6 - A/2457/2010 autant qu'il paraisse suffisamment fondé et qu’aucun intérêt public ou privé prépondérant ne s’y oppose (art. 17 al. 2 AIMP ; 58 al. 2 RMP), cette dernière formulation étant comparable à celle de l’art. 66 al. 2 LPA (ATA/491/2010 déjà cité et les réf. citées).</w:t>
      </w:r>
    </w:p>
    <w:p>
      <w:r>
        <w:rPr>
          <w:b/>
        </w:rPr>
        <w:t>E. 4</w:t>
      </w:r>
    </w:p>
    <w:p>
      <w:r>
        <w:t>En matière de marchés publics, la restitution de l’effet suspensif en cas de recours constitue une mesure dont les conditions ne peuvent être admises qu'avec restrictions. La volonté des cantons concordataires était en effet d'éviter qu'en raison d'un effet suspensif automatique du recours, les soumissionnaires ne disposent d'un moyen de pression important, paralysant le cas échéant l'activité des pouvoirs adjudicateurs (Arrêts du Tribunal fédéral 2D_130/2007 du 26 février 2008 consid.</w:t>
      </w:r>
    </w:p>
    <w:p>
      <w:r>
        <w:rPr>
          <w:b/>
        </w:rPr>
        <w:t>E. 5</w:t>
      </w:r>
    </w:p>
    <w:p>
      <w:r>
        <w:t>a. Dans l'application de l'art. 17 al. 2 AIMP, il y a donc lieu d’effectuer une pesée entre les intérêts public et privé en jeu. Doivent en outre être prises en considération les chances de succès du recours. Ce dernier examen a pour but de refuser l’effet suspensif aux recours manifestement dépourvus de chance de succès (F. GYGI, l’effet suspensif et les mesures provisionnelles en procédure administrative, in RDAF 1976 p. 274 ; RDAF 1998 I p. 41 ; ATA/491/2010 déjà cité).</w:t>
      </w:r>
    </w:p>
    <w:p>
      <w:r>
        <w:t>b. Lorsqu'elle examine cette question, l'autorité compétente jouit d'une certaine liberté d'appréciation. Elle ne doit cependant effectuer qu'un examen prima facie.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w:t>
      </w:r>
    </w:p>
    <w:p>
      <w:r>
        <w:t>En l’espèce, l’exploitation de lignes de transports publics répond sans conteste à un critère d’intérêt public. De surcroît, la mise en service des nouveaux véhicules doit intervenir le 12 décembre 2010 au plus tard, soit lors de l’entrée en vigueur des nouveaux horaires des transports publics à l’échelon national. Il est donc nécessaire que les véhicules idoines soient commandés et livrés dans un proche avenir afin d’assurer le respect de la date-butoir du 12 décembre 2010. Cet intérêt public doit prendre le pas sur l’intérêt privé de la recourante, qui consiste, in fine, dans le fait de souhaiter se voir attribuer le marché. Or, l’admission du recours n’aurait pas nécessairement pour effet de le lui attribuer dans la mesure où le tribunal de céans ne peut pas statuer en opportunité (art. 116 al. 1 et 2 AIMP ; art. 61 LPA).</w:t>
      </w:r>
    </w:p>
    <w:p>
      <w:r>
        <w:rPr>
          <w:b/>
        </w:rPr>
        <w:t>E. 6</w:t>
      </w:r>
    </w:p>
    <w:p>
      <w:r>
        <w:t>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pas le cas</w:t>
      </w:r>
    </w:p>
    <w:p>
      <w:r>
        <w:t>- 5/6 - A/2457/2010 en l'espèce. Certains griefs développés par la recourante résultent de ses propres conjectures, notamment en ce qui concerne le caractère de l’offre économiquement la plus avantageuse. D’une manière générale, la recourante conteste la façon dont elle a été évaluée et invoque la violation de plusieurs principes propres aux marchés publics, mais elle ne démontre pas d’entrée de cause que ses contestations devraient aboutir au résultat que le marché aurait dû, de toutes les façons, lui être attribué.</w:t>
      </w:r>
    </w:p>
    <w:p>
      <w:r>
        <w:rPr>
          <w:b/>
        </w:rPr>
        <w:t>E. 7</w:t>
      </w:r>
    </w:p>
    <w:p>
      <w:r>
        <w:t>Au stade de l’examen de l’effet suspensif, il sera retenu que la décision attaquée a été prise au terme d’un procédure d’évaluation dont rien ne permet de conclure, en l’état, que les règles d’évaluation et les critères énoncés dans l’appel d’offres n’auraient pas été respectées.</w:t>
      </w:r>
    </w:p>
    <w:p>
      <w:r>
        <w:rPr>
          <w:b/>
        </w:rPr>
        <w:t>E. 8</w:t>
      </w:r>
    </w:p>
    <w:p>
      <w:r>
        <w:t>Au vu de ce qui précède, compte tenu de l'intérêt public prépondérant à l'exécution de la décision d'adjudication et des chances incertaines de succès du recours au vu de l'argumentation développée ainsi que des pièces produites à ce stade de la procédure, la demande d’octroi de l’effet suspensif sera rejetée. Le sort des frais de la présente décision sera tranché dans l’arrêt à rendre au fond.</w:t>
      </w:r>
    </w:p>
    <w:p>
      <w:r>
        <w:t>vu l’art. 66 al. 2 LPA ;</w:t>
      </w:r>
    </w:p>
    <w:p>
      <w:r>
        <w:t>vu l’art. 5 du règlement du Tribunal administratif du 5 février 2007 ; LA PRÉSIDENTE DU TRIBUNAL ADMINISTRATIF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Peregrina, avocat de la recourante, à Me Bertrand Reich, avocat de Transports publics genevois ainsi qu’à Me Guy Stanislas, avocat de Globe Limo S.A., appelée en cause.</w:t>
      </w:r>
    </w:p>
    <w:p>
      <w:r>
        <w:t>- 6/6 - A/2457/2010</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