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ATA/527/2017 vom 9. Mai 2017</w:t>
      </w:r>
    </w:p>
    <w:p>
      <w:r>
        <w:t>GE Cour de justice, 2017-05-09, FR</w:t>
      </w:r>
    </w:p>
    <w:p>
      <w:r>
        <w:rPr>
          <w:b/>
        </w:rPr>
        <w:t xml:space="preserve">Quelle: </w:t>
      </w:r>
      <w:r>
        <w:t>https://mcp.opencaselaw.ch/entscheid/ge_gerichte_ATA_527_2017</w:t>
      </w:r>
    </w:p>
    <w:p>
      <w:r>
        <w:t>FR: GE_GERICHTE ATA/527/2017 du 9 mai 2017</w:t>
      </w:r>
    </w:p>
    <w:p>
      <w:r>
        <w:t>IT: GE_GERICHTE ATA/527/2017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1'100.- infligée au recourant et l’avertissement selon lequel, en cas de récidive, sa carte professionnelle de chauffeur serait suspendue, tous deux objets de la décision litigieuse. Celle-ci porte sur des faits résultant de l’intervention d’un collaborateur de la société B______, effectuée sur demande du service dont le but était de comprendre le fonctionnement de la société Uber et celui de l’application proposée par celle-ci.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w:t>
      </w:r>
    </w:p>
    <w:p>
      <w:r>
        <w:t>- 9/15 - A/99/2015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société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société B______ sur cette question. Par conséquent, le droit d’être entendu du recourant n’a pas été violé sur ces deux points.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w:t>
      </w:r>
    </w:p>
    <w:p>
      <w:r>
        <w:t>- 10/15 - A/99/2015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selon ses déclarations en audience, le collaborateur de la société B______ ayant effectué la course litigieuse, avait établi la trame du rapport à rendre à M. D______ dans le cadre de sa mission visant à comprendre le fonctionnement de la société Uber et de l’application de celle-ci. Le rapport relatif à la course litigieuse fait l’objet de la pièce 2 du service. Ce document ne contient ni de rubrique concernant la visibilité du feuillet indiquant les tarifs pratiqués par le taxi, ni de rubrique relative au taximètre. Interrogé sur ces deux aspects lors de l’audience, ledit collaborateur a déclaré ne pas se souvenir si un tel feuillet était affiché dans le véhicule du recourant. S’agissant de l’enclenchement du taximètre, il n’avait pas non plus de souvenir à ce sujet et précisait qu’il n’avait pas systématiquement regardé si les chauffeurs enclenchaient le taximètre ou s’ils en possédaient un car cela n’était pas une demande de M. D______ ; sa mission ne consistait pas à faire des constats au sujet du taximètre, ni à comparer le prix affiché par ce dernier et le prix annoncé par l’application Uber. Or, le service fonde les infractions reprochées au recourant sur le rapport établi par ce collaborateur qui, conformément aux déclarations de ce dernier, ne comprend aucune mention relative à ces deux éléments. De plus, l’intéressé a déclaré en audience avoir enclenché le taximètre lorsqu’il avait pris en charge ledit collaborateur. Dès lors, le service ne dispose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w:t>
      </w:r>
    </w:p>
    <w:p>
      <w:r>
        <w:t>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collaborateur entendu en audience a déclaré avoir reçu une quittance, à la fin de la course, qui lui indiquait le prix effectif de la course. De plus, aucun manquement à ce sujet ne figure dans le rapport dudit collaborateur. Au contraire, celui-ci est accompagné d’un document où figure le reçu « détaillé » de ladite course, qui indique le prix effectivement payé. Dès lors, le recourant n’a pas enfreint l’art. 53 al. 2 RTaxis.</w:t>
      </w:r>
    </w:p>
    <w:p>
      <w:r>
        <w:t>- 11/15 - A/99/2015</w:t>
      </w:r>
    </w:p>
    <w:p>
      <w:r>
        <w:t>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suivant les indications dudit compteur. Il n’a donc pas respecté cette règle et un manquement à l’art. 42 al. 1 LTaxis peut être retenu à son encontre. 6)</w:t>
      </w:r>
    </w:p>
    <w:p>
      <w:r>
        <w:t>Selon le recourant, le service, en faisant intervenir les agents de la société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société B______. Le recourant était déjà inscrit en tant que chauffeur employant l’application Uber, lorsque le collaborateur de la société B______ a passé la commande de la course litigieuse. De plus, comme l’a indiqué en audience le directeur du service, aucun chauffeur ayant été identifié dans le cadre de l’enquête confiée à la société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société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w:t>
      </w:r>
    </w:p>
    <w:p>
      <w:r>
        <w:t>- 12/15 - A/99/2015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w:t>
      </w:r>
    </w:p>
    <w:p>
      <w:r>
        <w:t>- 13/15 - A/99/2015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16 septembre 2014, une violation de l’art. 42 al. 1 LTaxi pour laquelle il peut être sanctionné conformément à l’art. 45 al. 1 LTaxis.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w:t>
      </w:r>
    </w:p>
    <w:p>
      <w:r>
        <w:t>- 14/15 - A/99/2015 de réformer les décisions faisant l’objet d’un recours devant elle (art. 67 LPA), réduira le montant de l’amende infligée au recourant de CHF 1'100.- à CHF 400.-, en tenant compte de l’absence d’antécédents figurant au dossier et de la nécessité d’assurer un service de taxi de qualité. 9)</w:t>
      </w:r>
    </w:p>
    <w:p>
      <w:r>
        <w:t>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