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ATA/527/2011 vom 30. August 2011</w:t>
      </w:r>
    </w:p>
    <w:p>
      <w:r>
        <w:t>GE Cour de justice, 2011-08-30, FR</w:t>
      </w:r>
    </w:p>
    <w:p>
      <w:r>
        <w:rPr>
          <w:b/>
        </w:rPr>
        <w:t xml:space="preserve">Quelle: </w:t>
      </w:r>
      <w:r>
        <w:t>https://mcp.opencaselaw.ch/entscheid/ge_gerichte_ATA_527_2011</w:t>
      </w:r>
    </w:p>
    <w:p>
      <w:r>
        <w:t>FR: GE_GERICHTE ATA/527/2011 du 30 août 2011</w:t>
      </w:r>
    </w:p>
    <w:p>
      <w:r>
        <w:t>IT: GE_GERICHTE ATA/527/2011 del 30 agosto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la jurisprudence du Tribunal fédéral, un intérêt digne de protection suppose un intérêt actuel à obtenir l’annulation de la décision attaquée (ATF 135 I 79 consid. 1 p. 82 ; 131 II 361 consid. 1.2 p. 365 ; 128 II 34 consid. 1b p. 36 ; Arrêts du Tribunal fédéral 1C_133/2009 du 4 juin 2009 consid. 3 ; 1C _76/2009 du 30 avril 2009 consid. 2 ; 6B_34/2009 du 20 avril 2009 consid. 1.3 ; H. SEILER, Handkommentar zum Bundesgerichtsgesetz [BGG], Berne 2007, n. 33 ad art. 89 LTF p. 365 ; K. SPUHLER/ A. DOLGE/ D. VOCK, Kurzkommentar zum Bundesgerichtsgesetz [BGG], Zurich/St-Gall 2006, n. 5 ad art. 89 LTF p. 167). L’existence d’un intérêt actuel s’apprécie non seulement au moment du dépôt du recours, mais aussi lors du prononcé de la décision sur recours ; s’il s’éteint pendant la procédure, le recours, devenu sans objet, doit être simplement radié du rôle (ATF 125 V 373 consid. 1 p. 374 ; 118 Ib 1 consid. 2 p. 7 ; Arrêt du Tribunal fédéral 1C_76/2009 du 30 avril 2009 consid. 2 ; ATA/195/2007 du 24 avril 2007 consid. 3 et 4 ; ATA/175/2007 du 17 avril 2007 consid. 2a ; ATA/915/2004 du 23 novembre 2004 consid. 2b) ou déclaré irrecevable (ATF 123 II 285 consid. 4 p. 286 et ss. ; 118 Ia 46 consid. 3c p. 53 ; Arrêt du Tribunal fédéral 1C_69/2007 du 11 juin 2007 consid. 2.3 ; ATA/192/2009 du 21 avril 2009 ; ATA/195/2007 du 24 avril 2007 ; ATA/640/2005 du 27 septembre 2005).</w:t>
      </w:r>
    </w:p>
    <w:p>
      <w:r>
        <w:t>La condition de l’intérêt actuel fait défaut en particulier lorsque, par exemple, la décision ou la loi est révoquée ou annulée en cours d’instance (ATF 111 Ib 182 consid. 2 p. 185 ; 110 Ia 140 consid. 2 p. 141/142 ; 104 Ia 487 consid.</w:t>
      </w:r>
    </w:p>
    <w:p>
      <w:r>
        <w:rPr>
          <w:b/>
        </w:rPr>
        <w:t>E. 2</w:t>
      </w:r>
    </w:p>
    <w:p>
      <w:r>
        <w:t>Vu l’issue du litige, un émolument de CHF 500.- sera mis à la charge du CDE et de Mme Testa Haegi, prises conjointement et solidairement. Aucune indemnité de procédure ne sera allouée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