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ATA/526/2020 vom 26. Mai 2020</w:t>
      </w:r>
    </w:p>
    <w:p>
      <w:r>
        <w:t>GE Cour de justice, 2020-05-26, FR</w:t>
      </w:r>
    </w:p>
    <w:p>
      <w:r>
        <w:rPr>
          <w:b/>
        </w:rPr>
        <w:t xml:space="preserve">Quelle: </w:t>
      </w:r>
      <w:r>
        <w:t>https://mcp.opencaselaw.ch/entscheid/ge_gerichte_ATA_526_2020</w:t>
      </w:r>
    </w:p>
    <w:p>
      <w:r>
        <w:t>FR: GE_GERICHTE ATA/526/2020 du 26 mai 2020</w:t>
      </w:r>
    </w:p>
    <w:p>
      <w:r>
        <w:t>IT: GE_GERICHTE ATA/526/2020 del 26 maggio 2020</w:t>
      </w:r>
    </w:p>
    <w:p>
      <w:pPr>
        <w:pStyle w:val="Heading2"/>
      </w:pPr>
      <w:r>
        <w:t>Regeste</w:t>
      </w:r>
    </w:p>
    <w:p>
      <w:r>
        <w:t>Résumé: Recours d’un chauffeur de taxi contre une amende infligée suite à deux infractions au motif qu’il était dépourvu de la carte professionnelle de chauffeur de limousine. La récidive justifie une certaine sévérité, mais du fait de la prescription de la première infraction le montant de l’amende doit être réduit de moitié.</w:t>
      </w:r>
    </w:p>
    <w:p>
      <w:pPr>
        <w:pStyle w:val="Heading2"/>
      </w:pPr>
      <w:r>
        <w:t>Erwägungen</w:t>
      </w:r>
    </w:p>
    <w:p>
      <w:r>
        <w:rPr>
          <w:b/>
        </w:rPr>
        <w:t>E. 12</w:t>
      </w:r>
    </w:p>
    <w:p>
      <w:r>
        <w:t>septembre 1985 - LPA - E 5 10). 2)</w:t>
      </w:r>
    </w:p>
    <w:p>
      <w:r>
        <w:t>Le recourant sollicite sa comparution personnelle.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Le droit d'être entendu ne comprend pas le droit d'être entendu oralement (ATF 134 I 140 consid. 5.3 ; arrêt du Tribunal fédéral 1C_551/2015 du 22 mars 2016 consid. 2.2), ni celui d'obtenir l'audition de témoins (ATF 130 II 425 consid. 2.1).</w:t>
      </w:r>
    </w:p>
    <w:p>
      <w:r>
        <w:t>c. En l’espèce, le dossier contient les pièces nécessaires à l’établissement des faits. Le recourant a eu l’occasion d’exercer son droit d’être entendu devant le PCTN, puis de faire valoir ses arguments dans ses écritures devant la chambre de céans. Il a en outre pu verser à la procédure toutes les pièces qu’il estimait utiles.</w:t>
      </w:r>
    </w:p>
    <w:p>
      <w:r>
        <w:t>Au vu de ces éléments, il ne sera pas fait droit à la demande d’audition du recourant. 3)</w:t>
      </w:r>
    </w:p>
    <w:p>
      <w:r>
        <w:t>Le litige a trait à la légalité des amendes infligées au recourant les 4 et 30 mai 2017. 4)</w:t>
      </w:r>
    </w:p>
    <w:p>
      <w:r>
        <w:t>Le 1er juillet 2017 est entrée en vigueur la loi sur les taxis et les voitures de transport avec chauffeur du 13 octobre 2016 (LTVTC - H 1 31) et le règlement d'exécution de la LTVTC du 21 juin 2017 (RTVTC - H 1 31.01), abrogeant la aLTaxis et son règlement d’exécution du 4 mai 2005 (aRTaxis).</w:t>
      </w:r>
    </w:p>
    <w:p>
      <w:r>
        <w:t>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w:t>
      </w:r>
    </w:p>
    <w:p>
      <w:r>
        <w:t>À cet égard, l’art. 66 al. 1 première phrase RTVTC ne fait que reprendre la règle générale selon laquelle s'appliquent aux faits dont les conséquences</w:t>
      </w:r>
    </w:p>
    <w:p>
      <w:r>
        <w:t>- 6/12 - A/774/2020 juridiques sont en cause, les normes en vigueur au moment où ces faits se produisent (ATA/629/2018 du 19 juin 2018 et les références citées). L’art. 66 al. 2 RTVTC reprend quant à lui le principe de la lex mitior applicable aux sanctions.</w:t>
      </w:r>
    </w:p>
    <w:p>
      <w:r>
        <w:t>b. En l’espèce, les faits reprochés au recourant se sont déroulés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 aLTaxis ou ses dispositions d’exécution (ATA/629/2018 précité et les références citées).</w:t>
      </w:r>
    </w:p>
    <w:p>
      <w:r>
        <w:t>La présente cause est donc soumise à la aLTaxis et au aRTaxis. 5)</w:t>
      </w:r>
    </w:p>
    <w:p>
      <w:r>
        <w:t>Au vu de la date du présent arrêt, la prescription de trois ans (art. 109 CP appliqué par analogie, avec l’art. 98 CP ; ATA/313/2017 du 21 mars 2017 consid. 4b et les références citées), examinée d’office lorsqu’elle joue en faveur de l’administré (ATF 138 II 169 consid. 3.2 ; ATA/1368/2017 du 10 octobre 2017 consid. 4d), est acquise pour l’infraction du 4 mai 2017 reprochée au recourant, mais non pour celle du 30 mai 2017. 6)</w:t>
      </w:r>
    </w:p>
    <w:p>
      <w:r>
        <w:t>Le recourant conteste la commission d'une quelconque infraction. Il soutient que les dispositions de la LMI lui permettent d'exercer librement une activité de chauffeur de taxi sans carte professionnelle de chauffeur sur l'ensemble du territoire suisse, en particulier à Genève. 7)</w:t>
      </w:r>
    </w:p>
    <w:p>
      <w:r>
        <w:t>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w:t>
      </w:r>
    </w:p>
    <w:p>
      <w:r>
        <w:t>Seul le titulaire d’une carte professionnelle de chauffeur de taxi ou de chauffeur de limousine peut conduire un véhicule pour transporter professionnellement des personnes (art. 5 al. 1 aLTaxis).</w:t>
      </w:r>
    </w:p>
    <w:p>
      <w:r>
        <w:t>La carte professionnelle de chauffeur de taxi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aLTaxis). La carte professionnelle de chauffeur de limousine confère au chauffeur le droit d’exercer son activité comme</w:t>
      </w:r>
    </w:p>
    <w:p>
      <w:r>
        <w:t>- 7/12 - A/774/2020 chauffeur indépendant d’une limousine ou comme employé d’un exploitant indépendant ou d’une entreprise de limousines (art. 7 al. 1 aLTaxis). Ces autorisations sont délivrées lorsque le requérant a notamment réussi les examens prévus par la loi (art. 6 al. 2 let. d et 7 al. 2 let. d aLTaxis). 8) a. La LMI garantit à toute personne ayant son siège ou son établissement en Suisse l’accès libre et non discriminatoire au marché afin qu’elle puisse exercer une activité lucrative sur tout le territoire suisse (art. 1 al. 1 LMI).</w:t>
      </w:r>
    </w:p>
    <w:p>
      <w:r>
        <w:t>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w:t>
      </w:r>
    </w:p>
    <w:p>
      <w:r>
        <w:t>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2ème éd., 2013, n. 65 ss ad Intro. LMI). Le principe du libre accès au marché a été renforcé par la modification de la LMI du</w:t>
      </w:r>
    </w:p>
    <w:p>
      <w:r>
        <w:rPr>
          <w:b/>
        </w:rPr>
        <w:t>E. 16</w:t>
      </w:r>
    </w:p>
    <w:p>
      <w:r>
        <w:t>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w:t>
      </w:r>
    </w:p>
    <w:p>
      <w:r>
        <w:t>- 8/12 - A/774/2020 résultent du droit fédéral (ATF 141 II 280 consid. 5.1 ; ATA/1212/2018 du 13 novembre 2018 et les références citées).</w:t>
      </w:r>
    </w:p>
    <w:p>
      <w:r>
        <w:t>b.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w:t>
      </w:r>
    </w:p>
    <w:p>
      <w:r>
        <w:t>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w:t>
      </w:r>
    </w:p>
    <w:p>
      <w:r>
        <w:t>- 9/12 - A/774/2020 l’accès au marché d’un offreur externe de renverser la présomption légale d’équivalence entre la réglementation du lieu de provenance et la réglementation locale applicable, et non à l’offreur externe de démontrer l’équivalence entre les deux réglementations (ATA/1039/2017 précité et les références citées).</w:t>
      </w:r>
    </w:p>
    <w:p>
      <w:r>
        <w:t>d. La chambre de céans a déjà eu l'occasion de retenir que des chauffeurs de taxis ou de limousine exerçant le transport professionnel de personnes ne pouvaient être considérés comme des offreurs externes au canton, alors qu'ils exerçaient leur métier sur le territoire genevois et y percevaient leurs revenus. Le fait de conduire un véhicule immatriculé dans un autre canton ou d'être titulaire d'une entreprise en raison individuelle dans un autre canton, tel que le canton de Vaud, ne pouvait être invoqué pour se soustraire à la législation genevoise. Il en résultait que le défaut de dimension intercantonale exclut toute application de la LMI (ATA/927/2019 du 21 mai 2019 ; ATA/403/2019 du 9 avril 2019 ; ATA/158/2019 et ATA/157/2019 du 19 février 2019 ; ATA/1315/2018 précité ; ATA/1212/2018 précité ; ATA/319/2018 du 10 avril 2018 consid. 9d). 9) a. En l’espèce, le recourant a été contrôlé le 30 mai 2017 alors qu’il transportait, dans un véhicule immatriculé dans le canton de Vaud, un client entre Versoix et l’avenue Appia, sans être alors au bénéfice d’une carte professionnelle de chauffeur, ce qu’il ne conteste pas.</w:t>
      </w:r>
    </w:p>
    <w:p>
      <w:r>
        <w:t>b. Le recourant était alors domicilié à Genève, et son véhicule était, au moment des faits, immatriculé dans le canton de Vaud, canton dans lequel était également situé le siège de sa société. Lorsqu’il a exercé son droit d’être entendu devant l’intimé, le recourant a exposé qu’il exerçait la majeure partie de son activité dans le canton de Vaud. Puis, dans son recours, il a précisé que l’application « Uber » lui avait proposé des courses au départ de Genève. Pourtant, il ressort de l’ATA/403/2019, qu’à la suite d’un contrôle effectué le 25 mai 2016 le recourant avait admis effectuer ses courses en majorité sur le territoire genevois. Dans cet arrêt, la chambre de céans a d’ailleurs retenu que l’intéressé n’avait pas démontré avoir exercé l’essentiel de son activité à l’extérieur du canton de Genève à l’époque des faits qui lui étaient alors reprochés, à savoir entre fin juillet 2015 et fin mars 2017. Dans la mesure où les infractions qui concernent la présente procédure ont été commises seulement deux mois plus tard, il y a lieu de retenir, une fois encore, que le recourant ne parvient pas à démonter qu’il exerçait, en mai 2017, l’essentiel de son activité hors du canton de Genève. Au cours de la présente procédure, et alors qu’il en avait l’occasion, le recourant n’a au surplus apporté aucune preuve du contraire.</w:t>
      </w:r>
    </w:p>
    <w:p>
      <w:r>
        <w:t>Dans ces circonstances, le recourant ne peut pas être considéré comme un offreur externe, de sorte que la LMI ne trouve pas application dans le cas d’espèce. Il était ainsi soumis à la législation genevoise, dont il ne respectait pas les conditions au moment des faits litigieux, en l’absence d’autorisation délivrée par l’intimé.</w:t>
      </w:r>
    </w:p>
    <w:p>
      <w:r>
        <w:t>- 10/12 - A/774/2020</w:t>
      </w:r>
    </w:p>
    <w:p>
      <w:r>
        <w:t>c. La décision litigieuse sera dès lors confirmée en tant qu’elle retient que le recourant a contrevenu à la loi en prenant en charge un client à Genève le 30 mai 2017 alors qu’il était dépourvu d’une carte professionnelle pour l’exercice d’une activité de transport professionnel de personnes. 10) a. Le département, soit pour lui le service (art. 1 al. 1 et 2 aRTaxis), peut infliger une amende administrative de CHF 100.- à CHF 20'000.- à toute personne ayant enfreint les prescriptions de l’aLTaxis ou de ses dispositions d’exécution (art. 45 al. 1 aLTaxis).</w:t>
      </w:r>
    </w:p>
    <w:p>
      <w:r>
        <w:t>b. L’administration doit faire preuve de sévérité afin d’assurer le respect de la loi et jouit d’un large pouvoir d’appréciation pour infliger une amende. La juridiction de céans ne la censure qu’en cas d’excès ou d’abus. L’amende doit également respecter le principe de la proportionnalité (ATA/1212/2018 précité et la référence citée).</w:t>
      </w:r>
    </w:p>
    <w:p>
      <w:r>
        <w:t>c. L’autorité qui prononce une mesure administrative ayant le caractère d’une sanction doit également faire application des principes applicables à la fixation de la peine contenus aux art. 47 ss CP,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w:t>
      </w:r>
    </w:p>
    <w:p>
      <w:r>
        <w:t>d. Le fait de prendre en charge des clients en se présentant comme un professionnel sans y être autorisé, constitue une infraction grave à l’aLTaxis, eu égard au but de cette loi, soit notamment d’assurer une exploitation des services</w:t>
      </w:r>
    </w:p>
    <w:p>
      <w:r>
        <w:t>e. En l’espèce, et comme cela découle de l’ATA/403/2019, le recourant a déjà été sanctionné pour des faits similaires à ceux qui lui sont reprochés dans la présente procédure. L’ATA/403/2019 fait en effet référence à trois infractions commises par le recourant sur le territoire genevois en lien avec l’application « Uber », une des infractions étant prescrites. Dans ce contexte de récidive, il y a lieu de faire preuve d’une certaine sévérité à l’égard du recourant, d’autant que les infractions constatées et qui concernent la présente cause ne l’ont été que deux mois après la dernière infraction commise dans la cause qui a donné lieu à l’ATA/403/2019.</w:t>
      </w:r>
    </w:p>
    <w:p>
      <w:r>
        <w:t>Dans la mesure où l’infraction du 4 mai 2017 est prescrite, il apparaît conforme au principe de la proportionnalité de réduire le montant de l’amende de moitié et de le fixer, non pas à CHF 100.- comme le soutient le recourant, mais à</w:t>
      </w:r>
    </w:p>
    <w:p>
      <w:r>
        <w:t>- 11/12 - A/774/2020 CHF 225.-. Au vu des revenus annoncés par le recourant et son épouse, ce montant doit pouvoir être réglé sans mette en péril les finances de sa famille.</w:t>
      </w:r>
    </w:p>
    <w:p>
      <w:r>
        <w:t>Au vu de ce qui précède, le recours sera partiellement admis et la décision querellée réformée (art. 69 al. 3 1ère phr. LPA) en ce sens que le montant de l’amende administrative sera réduit à CHF 225.-, et confirmée pour le surplus. 11) Le présent arrêt rend sans objet la conclusion du recourant visant à la confirmation de l’effet suspensif de son recours. 12) Vu l’issue du litige, un émolument, réduit, de CHF 450.- sera mis à la charge du recourant, qui succombe pour l’essentiel (art. 87 al. 1). Une indemnité de procédure, réduite, de CHF 150.-,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