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ATA/525/2023 vom 23. Mai 2023</w:t>
      </w:r>
    </w:p>
    <w:p>
      <w:r>
        <w:t>GE Cour de justice, 2023-05-23, FR</w:t>
      </w:r>
    </w:p>
    <w:p>
      <w:r>
        <w:rPr>
          <w:b/>
        </w:rPr>
        <w:t xml:space="preserve">Quelle: </w:t>
      </w:r>
      <w:r>
        <w:t>https://mcp.opencaselaw.ch/entscheid/ge_gerichte_ATA_525_2023</w:t>
      </w:r>
    </w:p>
    <w:p>
      <w:r>
        <w:t>FR: GE_GERICHTE ATA/525/2023 du 23 mai 2023</w:t>
      </w:r>
    </w:p>
    <w:p>
      <w:r>
        <w:t>IT: GE_GERICHTE ATA/525/2023 del 23 maggio 2023</w:t>
      </w:r>
    </w:p>
    <w:p>
      <w:pPr>
        <w:pStyle w:val="Heading2"/>
      </w:pPr>
      <w:r>
        <w:t>Regeste</w:t>
      </w:r>
    </w:p>
    <w:p>
      <w:r>
        <w:t>Résumé: Rejet du recours d’un chauffeur de taxi contre le refus du PCTN de lui octroyer une autorisation d’usage accru du domaine public (AUADP) en vertu de la disposition transitoire prévue à l’art. 46 al. 13 de la LTVTC, loi entrée en vigueur le 1er novembre 2022. Rejet des griefs tirés du principe de non-rétroactivité des lois, du principe de protection de la bonne foi et des droits acquis. La demande du recourant a été déposée après l’entrée en vigueur de la nouvelle loi. Il a obtenu la carte professionnelle de chauffeur de taxi en mai 2022, c’est-à-dire à un moment où les nouvelles règles avaient déjà été adoptées et publiées (pas dépôt de référendum), de sorte qu’il ne pouvait alors ignorer que la pratique consistant à louer des plaques à des tiers détenteurs d’AUADP serait supprimée. Choix volontaire du recourant de faire malgré tout usage de cette pratique entre mai et octobre 2022 : pas de régime transitoire nécessaire dans un tel cas. Rejet des griefs tirés de prétendues violations de la liberté économique et d’égalité de traitement entre concurrents directs pour les mêmes motifs que ceux exposés dans les arrêts récents de la chambre constitutionnelle, faute d’argument spécifique lié à l’application concrète de la nouvelle réglementation.</w:t>
      </w:r>
    </w:p>
    <w:p>
      <w:pPr>
        <w:pStyle w:val="Heading2"/>
      </w:pPr>
      <w:r>
        <w:t>Erwägungen</w:t>
      </w:r>
    </w:p>
    <w:p>
      <w:r>
        <w:rPr>
          <w:b/>
        </w:rPr>
        <w:t>E. 1</w:t>
      </w:r>
    </w:p>
    <w:p>
      <w:r>
        <w:t>Interjeté en temps utile devant la juridiction compétente par le destinataire de la décision litigieuse, le recours est recevable (art. 132 de la loi sur l'organisation judiciaire du 26 septembre 2010 - LOJ - E 2 05 ; art. 62 al. 1 let. a et 60 al. 1 let. a et b de la loi sur la procédure administrative du 12 septembre 1985 - LPA - E 5 10).</w:t>
      </w:r>
    </w:p>
    <w:p>
      <w:r>
        <w:rPr>
          <w:b/>
        </w:rPr>
        <w:t>E. 2</w:t>
      </w:r>
    </w:p>
    <w:p>
      <w:r>
        <w:t>De jurisprudence constante, la chambre administrative est habilitée à revoir, à titre préjudiciel et à l’occasion de l’examen d’un cas concret, la conformité des normes de droit cantonal au droit fédéral (ATA/675/2021 du 29 juin 2021 consid. 6 ; Pierre MOOR/Alexandre FLÜCKIGER/Vincent MARTENET, Droit administratif, vol. 1, 3e éd., 2012, p. 345 ss n. 2.7.3). Cette compétence découle du principe de la primauté du droit fédéral sur le droit des cantons, ancré à l’art. 49 Cst. (ATF 138 I 410 consid. 3.1 ; ATA/397/2021 du 13 avril 2021 consid. 6). D’une manière générale, les lois cantonales ne doivent rien contenir de contraire à la Cst., aux lois et ordonnances du droit fédéral (ATF 145 IV 10 consid. 2.1 et les arrêts cités ; ATA/1299/2020 du 15 décembre 2020 consid. 4a ; Giorgio MALINVERNI/Michel HOTTELIER/Maya HERTIG RANDALL/Alexandre FLÜCKIGER, Droit constitutionnel suisse, vol. 1, 4e éd., 2021, p. 33 ss n. 1982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(ATA/1367/2019 du 10 septembre 2019 consid. 6b ; Pierre MOOR/Alexandre FLÜCKIGER/Vincent MARTENET, op. cit., p. 352 ss n. 2.7.4.2). La juridiction constitutionnelle suisse consacre de façon générale le système diffus de contrôle de constitutionnalité. Toute autorité chargée de l’application des normes doit examiner si celles-ci sont conformes au droit supérieur et, si tel n’est pas le cas, refuser de les mettre en œuvre. Cette obligation est désignée par</w:t>
      </w:r>
    </w:p>
    <w:p>
      <w:r>
        <w:t>- 5/12 - A/617/2023 l’expression « contrôle préjudiciel général » (Giorgio MALINVERNI/Michel HOTTELIER/Maya HERTIG RANDALL/Alexandre FLÜCKIGER, op. cit., p. 733 n. 1982). Le contrôle préjudiciel général s’exerce également sur les actes législatifs cantonaux, en tout cas dans la mesure où leur conformité au droit fédéral et au droit international est en cause. Cette conclusion s’impose en vertu du principe de la primauté du droit fédéral sur le droit cantonal (art. 49 al. 1 Cst. ; Giorgio MALINVERNI/Michel HOTTELIER/Maya HERTIG RANDALL/Alexandre FLÜCKIGER, op. cit., p. 736 n. 1991). Le PCTN pouvait ainsi examiner le grief tiré d’une violation du principe de non-rétroactivité des lois.</w:t>
      </w:r>
    </w:p>
    <w:p>
      <w:r>
        <w:rPr>
          <w:b/>
        </w:rPr>
        <w:t>E. 3</w:t>
      </w:r>
    </w:p>
    <w:p>
      <w:r>
        <w:t>La LTVTC, actuellement en vigueur depuis le 1er novembre 2022, résulte du projet de loi (ci-après : PL) n° 12'649 sur les taxis et les voitures de transport avec chauffeur, déposé par le Conseil d’État devant le Grand Conseil le 16 février 2020. Ce projet a été renvoyé à la commission parlementaire des transports qui a rendu deux rapports, respectivement le 16 août 2021 (PL 12’649-A) et le 11 janvier 2022 (PL 12’649-B).</w:t>
      </w:r>
    </w:p>
    <w:p>
      <w:r>
        <w:rPr>
          <w:b/>
        </w:rPr>
        <w:t>E. 3.1</w:t>
      </w:r>
    </w:p>
    <w:p>
      <w:r>
        <w:t>Dans sa présentation du PL, le département a apporté les précisions suivantes. 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w:t>
      </w:r>
    </w:p>
    <w:p>
      <w:r>
        <w:rPr>
          <w:b/>
        </w:rPr>
        <w:t>E. 3.2</w:t>
      </w:r>
    </w:p>
    <w:p>
      <w:r>
        <w:t>Il ressort des débats que la commission parlementaire a voulu supprimer la location des plaques, qui conférait une rente de situation aux titulaires d’une AUADP, lesquels les louaient à un prix abusif. Le bail à ferme, tel qu’il était pratiqué par certaines personnes, restait un système exploitant une certaine dépendance, qui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w:t>
      </w:r>
    </w:p>
    <w:p>
      <w:r>
        <w:rPr>
          <w:b/>
        </w:rPr>
        <w:t>E. 3.3</w:t>
      </w:r>
    </w:p>
    <w:p>
      <w:r>
        <w:t>À l’issue de la séance du 28 janvier 2022, le Grand Conseil a adopté la LTVTC (loi 12'649), publiée le 4 février 2022 dans la Feuille d’avis officielle de</w:t>
      </w:r>
    </w:p>
    <w:p>
      <w:r>
        <w:t>- 6/12 - A/617/2023 la République et canton de Genève (ci-après : FAO) fixant le délai référendaire au 16 mars 2022.</w:t>
      </w:r>
    </w:p>
    <w:p>
      <w:r>
        <w:rPr>
          <w:b/>
        </w:rPr>
        <w:t>E. 3.4</w:t>
      </w:r>
    </w:p>
    <w:p>
      <w:r>
        <w:t>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Lors de son communiqué hebdomadaire du 19 octobre 2022, le Conseil d’État a annoncé que la LTVTC et son règlement d’application entreraient en vigueur le 1er novembre 2022.</w:t>
      </w:r>
    </w:p>
    <w:p>
      <w:r>
        <w:rPr>
          <w:b/>
        </w:rPr>
        <w:t>E. 4</w:t>
      </w:r>
    </w:p>
    <w:p>
      <w:r>
        <w:t>Le recourant considère que l’art. 46 al. 13 LTVTC n’est pas conforme au principe de la non-rétroactivité des lois, dans la mesure où il prend en compte la date du dépôt de ladite loi, et non son entrée en vigueur, pour examiner la condition de l’usage effectif de l’AUADP.</w:t>
      </w:r>
    </w:p>
    <w:p>
      <w:r>
        <w:rPr>
          <w:b/>
        </w:rPr>
        <w:t>E. 4.1</w:t>
      </w:r>
    </w:p>
    <w:p>
      <w:r>
        <w:t>L’art. 46 al. 13 LTVTC dispose, sous l’intitulé « Attribution des autorisations restituées ou caduques », que : « 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 ».</w:t>
      </w:r>
    </w:p>
    <w:p>
      <w:r>
        <w:rPr>
          <w:b/>
        </w:rPr>
        <w:t>E. 4.2</w:t>
      </w:r>
    </w:p>
    <w:p>
      <w:r>
        <w:t>Selon un principe général de droit intertemporel, rappelé dans l’arrêt 2C_339/2021 du Tribunal fédéral du 4 mai 2022 (consid. 4.1), les dispositions légales applicables à une contestation sont celles en vigueur au moment où se sont produits les faits juridiquement déterminants pour trancher celle-ci (ATF 146 V 364 consid. 7.1 ; 140 V 41 consid. 6.3.1).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147 V 156 consid. 7.2.1 ; 146 V 364 consid. 7.1 ; 138 I 189 consid. 3.4). La rétroactivité doit en outre être raisonnablement limitée dans le temps (ATF 147 V 156 consid. 7.2.1 ; 146 V 364 consid. 7.1 ; arrêt du Tribunal fédéral 1C_366/2016 du 13 février 2017 consid. 2.1).</w:t>
      </w:r>
    </w:p>
    <w:p>
      <w:r>
        <w:rPr>
          <w:b/>
        </w:rPr>
        <w:t>E. 4.3</w:t>
      </w:r>
    </w:p>
    <w:p>
      <w:r>
        <w:t>L'ordre juridique suisse peut être modifié à tout moment, conformément aux principes régissant la démocratie. Il n'existe pas, selon le Tribunal fédéral, de droit</w:t>
      </w:r>
    </w:p>
    <w:p>
      <w:r>
        <w:t>- 7/12 - A/617/2023 au maintien d'une certaine législation (arrêt du Tribunal fédéral 2E_3/2020 du 11 novembre 2021 consid. 9.7.2 et arrêts cités). Dans certaines circonstances, la jurisprudence a toutefois déduit des principes de l'égalité de traitement, de la bonne foi, de la proportionnalité et de l'interdiction de l'arbitraire, l'obligation pour le législateur de prévoir un régime transitoire (ATF 145 II 140 consid. 4 ; 134 I 23 consid. 7.6.1 ; 130 I 26 consid. 8.1 ; 128 I 92 consid. 4). Un tel régime doit permettre aux administrés de s'adapter à la nouvelle réglementation et non pas de profiter le plus longtemps possible de l'ancien régime plus favorable (ATF 145 II 140 consid. 4 ; 134 I 23 consid. 7.6.1 ; arrêt du Tribunal fédéral 2E_3/2020 précité consid. 9.7.2). Il n'y a pas de droit constitutionnel à cet égard (ATF 118 Ib 241 consid. 5e et 9b ; arrêt du Tribunal fédéral 2E_3/2020 précité consid. 9.7.2). L'auteur de la réglementation dispose d'une large marge d'appréciation (ATF 128 I 92 consid. 4 ; arrêt du Tribunal fédéral 2C_482/2020 du 28 septembre 2021 consid. 7.2). Il faut, le cas échéant, procéder à une pesée des intérêts entre la protection de la bonne foi et le principe de la légalité qui exige que, sauf motif particulier, les lois ou ordonnances entrent en vigueur sans retard (arrêts du Tribunal fédéral 2C_158/2012 du 20 avril 2012 consid. 3.8 ; 1A.196/1999 du 24 novembre 1999 consid. 6a). La question de savoir quand le nouveau droit doit entrer en vigueur et selon quelles modalités dépend du but poursuivi par la norme. Une entrée en vigueur immédiate se justifie lorsqu'il s'agit d'éviter qu'à la faveur de certains délais, les intéressés ne se hâtent de faire ce que le nouveau droit tend à interdire, privant ainsi la loi de son effet (ATF 114 Ib 17 consid. 4 et 6b ; 104 Ib 205 consid. 5b). En revanche,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 encore des délais d'adaptation. Il convient toutefois de faire preuve de retenue à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(arrêt du Tribunal fédéral 2E_3/2020 précité consid. 9.7.2 et arrêts cités).</w:t>
      </w:r>
    </w:p>
    <w:p>
      <w:r>
        <w:rPr>
          <w:b/>
        </w:rPr>
        <w:t>E. 4.4</w:t>
      </w:r>
    </w:p>
    <w:p>
      <w:r>
        <w:t>En l’espèce, la requête – c’est-à-dire le fait juridiquement déterminant – du recourant auprès du PCTN en vue de l’obtention d’une AUADP date du 7 novembre 2022,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w:t>
      </w:r>
    </w:p>
    <w:p>
      <w:r>
        <w:t>- 8/12 - A/617/2023 recourant, sa requête ne soulève pas de question sous l’angle de la rétroactivité des lois puisqu’elle a été déposée après l’entrée en vigueur de la nouvelle LTVTC. Par ailleurs, pour prétendre bénéficier d’une AUADP, il faut entre autres être titulaire d’une carte professionnelle de chauffeur de taxi (art. 13 al. 5 let. a LTVTC), y compris sous l’ancien droit (art. 5 al. 1, 10 al. 1, 15 al. 1 et 19 al. 1 de l’ancienne LTVTC du 13 octobre 2016). Or, le recourant ne l’a obtenue qu’en mai 2022, soit à un moment où les règles prévues dans la nouvelle LTVTC étaient déjà connues et que seule restait à fixer la date de son entrée en vigueur. En effet, cette loi, adoptée le 28 janvier 2022, soit près de deux ans après son dépôt auprès du Grand Conseil, a été publiée le 4 février 2022 dans la FAO et son arrêté de promulgation par le Conseil d’État y a été publié le 25 mars 2022, après l’expiration du délai référendaire fixé. Ainsi, dès fin mars 2022, le recourant ne pouvait de bonne foi ignorer que la pratique consistant à exercer la profession de chauffeur de taxi en louant les plaques à des tiers détenteurs d’AUADP serait supprimée lors de l’entrée en vigueur de la nouvelle LTVTC. Cet objectif a d’ailleurs d’emblée été énoncé par le PL 12'649 déposé par le Conseil d’État le 16 février 2020 pour mettre un terme à la précarisation des chauffeurs de taxi contraints de louer une AUADP à des prix abusifs, vu le long délai d’attente pour leur obtention. La nouvelle réglementation prévue dans ledit PL offrait trois options au détenteur d’une AUADP, à savoir l’utiliser lui-même, engager un chauffeur pour l’utiliser qui devenait contractuellement son employé ou la céder définitivement, ce qui permettait de l’octroyer à des nouveaux candidats. Ainsi, lorsqu’il a commencé à louer une AUADP en mai 2022, le recourant ne pouvait ignorer le changement prochain de réglementation affectant l’exercice de la profession de chauffeur de taxi, en raison notamment des deux publications précitées dans la FAO en février et mars 2022. Il ne peut dès lors se prévaloir ni du principe de la bonne foi, ni de droits acquis liés à l’exercice de cette profession. L’art. 46 al. 13 LTVTC invoqué par le recourant est une disposition transitoire qui a pour fonction d’atténuer la « rigueur du passage d’une loi à une autre loi » (Milena PIREK, L’application du droit public dans le temps : la question du changement de loi, 2018 p. 182). Or, la mise en place d’un régime transitoire présuppose, d’une part, d’avoir pu bénéficier de l’application de l’ancien droit, ce qui a été le cas du recourant entre mai et octobre 2022, et, d’autre part, de devoir supporter un sacrifice trop important découlant du changement de législation, ce qui ne peut être admis in casu pour les raisons évoquées supra et infra. En effet, entre mai et octobre 2022, le recourant devait s’attendre à l’entrée en vigueur de la nouvelle LTVTC qui supprimerait la possibilité d’exercer la profession de chauffeur de taxi en louant une AUADP. En outre, comme le relève la jurisprudence susmentionnée, le recourant n’a ni le droit au maintien de l’ancienne LTVTC, ni de profiter le plus longtemps possible de l’ancien régime</w:t>
      </w:r>
    </w:p>
    <w:p>
      <w:r>
        <w:t>- 9/12 - A/617/2023 qui serait par hypothèse plus favorable à travers des dispositions transitoires. Le législateur dispose à cet égard d’une large marge d’appréciation pour fixer la date d’entrée en vigueur du nouveau droit et ses modalités, étant rappelé que la protection de la bonne foi doit être mise en balance avec le principe de la légalité exigeant, sauf motif particulier, une entrée en vigueur immédiate du nouveau droit. Dans la présente espèce, le recourant ne peut se prévaloir de la protection de la bonne foi, ni a fortiori de bénéficier d’un régime transitoire, dans la mesure où il savait, ou à tout le moins ne pouvait de bonne foi ignorer, lorsqu’il a décidé en mai 2022 d’exercer la profession de chauffeur de taxi à travers la location d’une AUADP, que cette possibilité disparaîtrait dès l’entrée en vigueur de la nouvelle LTVTC. En choisissant malgré tout d’en faire usage tant que l’ancienne LTVTC demeurait applicable, le recourant a délibérément pris le risque de devoir cesser cette activité dès l’entrée en vigueur du nouveau droit et en conséquence d’en assumer les éventuels préjudices en découlant pour lui. Cette situation, dans laquelle le recourant s’est volontairement placé en toute connaissance du changement législatif connu et attendu, ne justifie donc pas la mise en place d’un régime transitoire. Au demeurant, en visant les utilisateurs effectifs d’une AUADP au moment du dépôt du PL 12'649, soit en février 2020, et au moment de l’adoption de cette loi, fin janvier 2022, le législateur a ciblé les chauffeurs de taxi ayant recouru à la location d’AUADP, tolérée sous l’ancien droit, pour exercer cette profession à un moment où ils ne pouvaient de bonne foi pas s’attendre à la suppression juridique de cette pratique, de sorte que la question d’un régime transitoire pouvait se poser pour eux, contrairement à la situation du recourant. Par conséquent, le grief tiré d’une prétendue violation du droit par l’art. 46 al. 13 LTVTC est écarté.</w:t>
      </w:r>
    </w:p>
    <w:p>
      <w:r>
        <w:rPr>
          <w:b/>
        </w:rPr>
        <w:t>E. 5</w:t>
      </w:r>
    </w:p>
    <w:p>
      <w:r>
        <w:t>Le recourant invoque également la violation de la liberté économique et de l’égalité de traitement entre acteurs de la même branche économique, sans toutefois développer d’argument tiré de l’application concrète de la nouvelle réglementation à sa demande du 7 novembre 2022. La chambre administrative ne voit donc pas de raison de s’écarter de la jurisprudence de la chambre constitutionnelle de la Cour de justice (ci-après : la chambre constitutionnelle) qui a tranché ces questions, incluant l’examen du respect du principe de la proportionnalité et celui de la question des droits acquis, dans des arrêts récents du 22 décembre 2022 (ACST/26/2022 et ACST/27/2022) s’agissant de la nouvelle LTVTC et du 24 mars 2023 (ACST/15/2023) quant à son règlement d’application.</w:t>
      </w:r>
    </w:p>
    <w:p>
      <w:r>
        <w:rPr>
          <w:b/>
        </w:rPr>
        <w:t>E. 5.1</w:t>
      </w:r>
    </w:p>
    <w:p>
      <w:r>
        <w:t>Dans ses arrêts du 22 décembre 2022, la chambre constitutionnelle a jugé que le caractère strictement personnel et intransmissible des AUADP – résultant des nouvelles dispositions de la LTVTC, entrée en vigueur le 1er novembre 2022, et supprimant la possibilité de louer les plaques d’immatriculation des taxis aux</w:t>
      </w:r>
    </w:p>
    <w:p>
      <w:r>
        <w:t>- 10/12 - A/617/2023 détenteurs de celles-ci – répondait aux exigences de la proportionnalité (ACST/26/2022 précité consid. 5e ; ACST/27/2022 précité consid. 6). Une telle mesure permettait à l’autorité d’effectuer un contrôle sur l’attribution des AUADP et d’éviter leur commerce et, par conséquent, des spéculations sur les prix. Il ressortait des constats effectués par le Conseil d’État dans son rapport RD 1'327 sur le bilan intermédiaire de l’ancienne loi sur les taxis et les voitures de transport de personnes avec chauffeur du 13 octobre 2016, entrée en vigueur le 1er juillet 2017 (ci-après : aLTVTC), ainsi que des déclarations des représentants des milieux des taxis devant la commission parlementaire, que de nombreux titulaires d’AUADP mettaient en location leurs plaques, percevant une rente pouvant atteindre jusqu’à CHF 2'000.- par mois par jeu de plaques, sans pour autant exercer eux-mêmes la profession. Ce prix à payer, ajouté à une diminution des revenus, plaçait les chauffeurs concernés dans une situation de précarité économique, qu’ils devaient compenser en augmentant leur temps de travail. L’intransmissibilité des AUADP permettait ainsi non seulement de mettre fin à une telle précarisation de la profession et à l’enrichissement correspondant des titulaires des AUADP, mais également d’inciter ceux n’exerçant plus comme chauffeur de les restituer afin de permettre l’accès à la profession de nouvelles personnes (ACST/26/2022 précité ch. 5 et 7b et consid. 5e). Par ailleurs, la chambre constitutionnelle a admis que les nouvelles dispositions querellées, à savoir les art. 13 al. 3 et al. 9 let. et art. 46 al. 8 à 13 LTVTC, poursuivaient un but d’intérêt public admissible pour ces mêmes motifs et vu l’exigence d’égalité entre concurrents qui supposait, pour être effective, la mise en place d’un système de distribution des autorisations qui soit cohérent, transparent et fondé sur des motifs objectifs, sous peine d’ouvrir la porte à l’arbitraire (ACST/26/2022 précité consid. 5d). Cette juridiction a dès lors conclu que l’incessibilité des AUADP constituait une restriction admissible à la liberté économique dans sa dimension individuelle (ACST/26/2022 précité consid. 5e ; ACST/27/2022 précité consid. 6). Elle a également écarté le grief tiré d’une inégalité de traitement entre concurrents directs, plus particulièrement entre les chauffeurs de taxi et les chauffeurs de voiture de transport avec chauffeur (ACST/26/2022 précité consid. 6 ; ACST/27/2022 précité consid. 7).</w:t>
      </w:r>
    </w:p>
    <w:p>
      <w:r>
        <w:rPr>
          <w:b/>
        </w:rPr>
        <w:t>E. 5.2</w:t>
      </w:r>
    </w:p>
    <w:p>
      <w:r>
        <w:t>Dans son arrêt du 24 mars 2023 (ACST/15/2023),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w:t>
      </w:r>
    </w:p>
    <w:p>
      <w:r>
        <w:t>- 11/12 - A/617/2023 RTVTC) permettait d’atténuer les effets du passage au régime de l’interdiction de location des autorisations.</w:t>
      </w:r>
    </w:p>
    <w:p>
      <w:r>
        <w:rPr>
          <w:b/>
        </w:rPr>
        <w:t>E. 5.3</w:t>
      </w:r>
    </w:p>
    <w:p>
      <w:r>
        <w:t>La chambre constitutionnelle a aussi rappelé que l’AUADP octroyée aux taxis ne conférait généralement pas de droits acquis, à moins de garanties spécifiquement obtenues concernant la poursuite de l’activité de location de plaques, ce qui n’était pas le cas dans les affaires dont elle était saisie (ACST/26/2022 précité consid. 7 ; ACST/27/2022 précité consid. 10). Pour les raisons qui viennent d’être évoquées, le recourant ne peut donc pas non plus se prévaloir de droits acquis concernant son activité de chauffeur de taxi entre mai et octobre 2022 fondée sur la location de plaques d’autrui. En conséquence, le recours doit être rejeté.</w:t>
      </w:r>
    </w:p>
    <w:p>
      <w:r>
        <w:rPr>
          <w:b/>
        </w:rPr>
        <w:t>E. 6</w:t>
      </w:r>
    </w:p>
    <w:p>
      <w:r>
        <w:t>Un émolument de CHF 1'000.- sera mis à la charge du recourant qui succombe, compte tenu du présent arrêt et de la décision sur effet suspensif et mesures provisionnelles du 14 avril 2023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