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ATA/525/2013 vom 27. August 2013</w:t>
      </w:r>
    </w:p>
    <w:p>
      <w:r>
        <w:t>GE Cour de justice, 2013-08-27, FR</w:t>
      </w:r>
    </w:p>
    <w:p>
      <w:r>
        <w:rPr>
          <w:b/>
        </w:rPr>
        <w:t xml:space="preserve">Quelle: </w:t>
      </w:r>
      <w:r>
        <w:t>https://mcp.opencaselaw.ch/entscheid/ge_gerichte_ATA_525_2013</w:t>
      </w:r>
    </w:p>
    <w:p>
      <w:r>
        <w:t>FR: GE_GERICHTE ATA/525/2013 du 27 août 2013</w:t>
      </w:r>
    </w:p>
    <w:p>
      <w:r>
        <w:t>IT: GE_GERICHTE ATA/525/2013 del 27 agosto 2013</w:t>
      </w:r>
    </w:p>
    <w:p>
      <w:pPr>
        <w:pStyle w:val="Heading2"/>
      </w:pPr>
      <w:r>
        <w:t>Regeste</w:t>
      </w:r>
    </w:p>
    <w:p>
      <w:r>
        <w:t>Résumé: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w:t>
      </w:r>
    </w:p>
    <w:p>
      <w:pPr>
        <w:pStyle w:val="Heading2"/>
      </w:pPr>
      <w:r>
        <w:t>Erwägungen</w:t>
      </w:r>
    </w:p>
    <w:p>
      <w:r>
        <w:rPr>
          <w:b/>
        </w:rPr>
        <w:t>E. 20</w:t>
      </w:r>
    </w:p>
    <w:p>
      <w:r>
        <w:t>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w:t>
      </w:r>
    </w:p>
    <w:p>
      <w:r>
        <w:t>- 8/10 - A/1503/2013 son irrecevabilité (ATF 136 II 415 consid. 1.2 ; ATA/412/2013 du 2 juillet 2013 consid. 7). 9)</w:t>
      </w:r>
    </w:p>
    <w:p>
      <w:r>
        <w:t>En l’espèce, par courriel du 8 avril 2013, le directeur de la prison a prié la directrice générale de l’office de lui confirmer qu’il pouvait, à la suite de la mutinerie qui avait eu lieu le même jour, prendre des sanctions en agissant sur délégation de sa part, ce que la directrice a confirmé par courriel du même jour.</w:t>
      </w:r>
    </w:p>
    <w:p>
      <w:r>
        <w:t>Le 9 avril 2013, le directeur de la prison, sur délégation de la directrice en question, a décidé que M. C______ devait passer dix jours en cellule forte, du 8 avril 2013 à 15h25 au 18 avril 2013 à 15h25, en raison d’un refus d’obtempérer et de trouble à l’ordre de l’établissement. Le recourant a déjà subi la sanction administrative qui lui a été infligée.</w:t>
      </w:r>
    </w:p>
    <w:p>
      <w:r>
        <w:t>A teneur de l’art. 47 al. 5 RRIP, le placement en cellule forte pour dix jours au plus est de la compétence du directeur général de l’office, sur proposition du directeur de la prison. Ni la LOPP ni le RRIP ne prévoient la possibilité pour le directeur général de l’office de déléguer la compétence précitée au directeur de la prison. Dans ces circonstances, admettre le contraire viderait l’art. 47 al. 5 RRIP de son sens, dans la mesure où les sanctions plus importantes que celles figurant à l’art. 47 al. 3 RRIP sont de la compétence du directeur général de l’office (ATA/536/2009 du 27 octobre 2009). A cet égard, l’échange de courriels entre le directeur de la prison et la directrice générale de l’office est insuffisant pour fonder une délégation de compétence relative au placement en cellule forte au- delà d’une durée de cinq jours, malgré les problèmes de disponibilité et de célérité invoqués.</w:t>
      </w:r>
    </w:p>
    <w:p>
      <w:r>
        <w:t>Par conséquent, le directeur de la prison n’était pas compétent pour prendre la décision litigieuse. Tout au plus pouvait-il proposer à la directrice générale de l’office de placer le recourant en cellule forte pour une durée maximale de dix jours, mais il ne pouvait pas prendre cette décision lui-même, même sur délégation de la directrice générale de l’office. 10) La décision attaquée a ainsi été prise par une autorité incompétente, ce qui constitue un vice particulièrement grave au sens de la jurisprudence précitée. 11) La nullité de la décision querellée sera donc constatée mais le recours déclaré irrecevable. 12) Etant donné cette issue, il n'est pas nécessaire de trancher d'autres points de droit. 13) Aucun émolument ne sera perçu, la procédure étant gratuite (art. 11 du règlement sur les frais, émoluments et indemnités en procédure administrative du 30 juillet 1986 - RFPA - E 5 10.03). Une indemnité de procédure de CHF 1'000.- sera allouée au recourant, à la charge de l’Etat de Genève (art. 87 al. 2 LPA).</w:t>
      </w:r>
    </w:p>
    <w:p>
      <w:r>
        <w:t>- 9/10 - A/1503/2013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