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ATA/524/2024 vom 29. April 2024</w:t>
      </w:r>
    </w:p>
    <w:p>
      <w:r>
        <w:t>GE Cour de justice, 2024-04-29, FR</w:t>
      </w:r>
    </w:p>
    <w:p>
      <w:r>
        <w:rPr>
          <w:b/>
        </w:rPr>
        <w:t xml:space="preserve">Quelle: </w:t>
      </w:r>
      <w:r>
        <w:t>https://mcp.opencaselaw.ch/entscheid/ge_gerichte_ATA_524_2024</w:t>
      </w:r>
    </w:p>
    <w:p>
      <w:r>
        <w:t>FR: GE_GERICHTE ATA/524/2024 du 29 avril 2024</w:t>
      </w:r>
    </w:p>
    <w:p>
      <w:r>
        <w:t>IT: GE_GERICHTE ATA/524/2024 del 29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la conduite d'une expertise judiciaire, dans la mesure où l’opinion des parties diverge quant à la prise en compte de la dissolution de la provision dans le CA.</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w:t>
      </w:r>
    </w:p>
    <w:p>
      <w:r>
        <w:t>- 6/15 - A/3611/2023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En l’espèce, la question de savoir si la dissolution d’une provision doit être incluse dans le CA afin de calculer l’aide d’urgence constitue une question de droit qui est l’objet de la présente procédure et doit donc être tranchée dans le cadre de celle-ci. Une expertise ne serait ainsi pas à même d’apporter des éléments de preuve influant sur l’issue de la procédure, puisque la chambre administrative dispose de tous les faits déterminants et est compétente pour émettre un avis juridique quant au calcul du CA dans le cadre de l’aide d’urgence. L’expertise n’est donc pas pertinente pour trancher le présent litige, de sorte qu’il n’y sera pas donné droit.</w:t>
      </w:r>
    </w:p>
    <w:p>
      <w:r>
        <w:rPr>
          <w:b/>
        </w:rPr>
        <w:t>E. 3</w:t>
      </w:r>
    </w:p>
    <w:p>
      <w:r>
        <w:t>L’objet du litige porte sur la conformité au droit de la décision sur réclamation du 29 septembre 2023 confirmant la décision du 25 juillet 2023 qui demande la restitution de la part d’indemnisation indûment perçue pour l’année 2020. La présente cause ne concerne en revanche pas la période portant sur le premier semestre 2021.</w:t>
      </w:r>
    </w:p>
    <w:p>
      <w:r>
        <w:rPr>
          <w:b/>
        </w:rPr>
        <w:t>E. 3.1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La juridiction administrative chargée de statuer est liée par les conclusions des parties. Elle n’est en revanche pas liée par les motifs que les parties invoquent (art. 69 al. 1 LPA).</w:t>
      </w:r>
    </w:p>
    <w:p>
      <w:r>
        <w:rPr>
          <w:b/>
        </w:rPr>
        <w:t>E. 4</w:t>
      </w:r>
    </w:p>
    <w:p>
      <w:r>
        <w:t>La recourante reproche au département d’avoir tenu compte du montant de la dissolution de la provision de CHF 189'000.- dans le calcul du CA pour l’année 2020.</w:t>
      </w:r>
    </w:p>
    <w:p>
      <w:r>
        <w:rPr>
          <w:b/>
        </w:rPr>
        <w:t>E. 4.1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 La chambre de céans revoit librement l’interprétation des notions juridiques indéterminées. Si ces notions font appel à des connaissances spécifiques que</w:t>
      </w:r>
    </w:p>
    <w:p>
      <w:r>
        <w:t>- 7/15 - A/3611/2023 l’autorité administrative est mieux à même d’apprécier qu’un tribunal, elle s’impose toutefois une certaine retenue. Lorsqu’il résulte de l’interprétation de la loi que le législateur a voulu, par l’utilisation de notions juridiques indéterminées, conférer à l’autorité de décision une marge de manœuvre, elle limite de même son contrôle à l’excès ou à l’abus de ce pouvoir d’appréciation (ATF 132 II 257 consid. 3.2 ; 131 II 13 consid. 3.4 ; ATA/666/2021 du 29 juin 2021 consid. 5c et les arrêts cités).</w:t>
      </w:r>
    </w:p>
    <w:p>
      <w:r>
        <w:rPr>
          <w:b/>
        </w:rPr>
        <w:t>E. 4.2</w:t>
      </w:r>
    </w:p>
    <w:p>
      <w:r>
        <w:t>Le 25 septembre 2020, l’Assemblée fédérale a adopté la loi fédérale sur les bases légales des ordonnances du Conseil fédéral visant à surmonter l’épidémie de Covid-19 (loi Covid-19 - RS 818.102). L’art. 12 de la loi Covid-19, dans sa teneur du 2 septembre 2021 applicable au cas d’espèce, prévoit les mesures pour les cas de rigueur destinées aux entreprises.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1er octobre 2020, avaient leur siège dans le canton le 1er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Il y a cas de rigueur au sens de l’art. 12 al. 1 de la loi Covid-19 si le CA annuel de l’entreprise est inférieur à 60% de la moyenne pluriannuelle. La situation patrimoniale et la dotation en capital globales doivent être prises en considération, ainsi que la part des coûts fixes non couverts (al. 1bis). Le soutien des mesures cantonales destinées aux entreprises réalisant un CA annuel de CHF 5'000'000.- au plus est accordé à condition que les exigences minimales de la Confédération soient respectées (al. 1sexies). Se fondant sur l’art. 12 al. 4 de la loi Covid-19, le Conseil fédéral a édicté l’ordonnance concernant les mesures pour les cas de rigueur destinées aux entreprises en lien avec l’épidémie de Covid-19 du 25 novembre 2020 (ordonnance Covid-19 cas de rigueur ; RS - 951.262). Dans sa teneur au 12 mai 2021, l’entreprise doit prouver au canton que son CA 2020 est inférieur à 60% du CA moyen des exercices 2018 et 2019 en raison des mesures ordonnées par les autorités aux fins de la lutte contre l’épidémie de Covid-19 (art. 5 al. 1 ordonnance Covid- 19 cas de rigueur). Les contributions non remboursables accordées aux entreprises dont le CA annuel atteint CHF 5'000'000.- au plus s’élèvent au maximum à 20% du CA moyen des exercices 2018 et 2019 et au maximum à CHF 1'000'000.- par entreprise (art. 8a al. 1 ordonnance Covid-19 cas de rigueur). Une entreprise ne peut recevoir lesdites aides que dans les limites du plafond correspondant (art. 8d al. 1 ordonnance Covid-19 cas de rigueur). Le CA au sens de ladite ordonnance se réfère</w:t>
      </w:r>
    </w:p>
    <w:p>
      <w:r>
        <w:t>- 8/15 - A/3611/2023 au compte individuel de l’entreprise requérante (art. 3 al. 3 ordonnance Covid-19 cas de rigueur).</w:t>
      </w:r>
    </w:p>
    <w:p>
      <w:r>
        <w:rPr>
          <w:b/>
        </w:rPr>
        <w:t>E. 4.3</w:t>
      </w:r>
    </w:p>
    <w:p>
      <w:r>
        <w:t>Dans le canton de Genève, le Grand Conseil a adopté, le 29 janvier 2021, la loi 12'863 relative aux aides financières extraordinaires de l’État destinées aux entreprises particulièrement touchées par la crise économique ou directement par les mesures de lutte contre l’épidémie de coronavirus pour l’année 2021 (ci-après : aLAFE-2021), complétée par son règlement d’application du 3 février 2021, dont le but était notamment de limiter les conséquences économiques de la lutte contre l’épidémie pour les entreprises sises dans le canton, conformément à la loi et à l’ordonnance Covid-19 cas de rigueur (art. 1 al. 1 aLAFE-2021). Ladite loi a été abrogée par la LAFE-2021, ayant pour but de limiter les conséquences économiques de la lutte contre l’épidémie de Covid-19 pour les entreprises sises dans le canton de Genève conformément à la loi Covid-19 et à l’ordonnance Covid-19 cas de rigueur (art. 1 al. 1 LAFE-2021). Cette aide financière extraordinaire vise à atténuer les pertes subies par les entreprises dont les activités ont été interdites ou réduites en raison de la nature même de leurs activités, entre le 1er janvier 2021 et le 31 décembre 2021 (art. 1 al. 2 LAFE-2021). L’art. 3 LAFE-2021 règle les principes d’indemnisation et prévoit que l’aide financière extraordinaire consiste en une participation à fonds perdu de l’État de Genève destinée à couvrir les coûts fixes non couverts de l’entreprise en application de l’ordonnance Covid-19 cas de rigueur (al. 1). L'activité réelle de l'entreprise est prise en compte dans la détermination de l'indemnité (al. 3). Aux commentaires par article du projet de loi (PL) 12'938, il est précisé que la situation financière découlant de l’activité effective de l’entreprise est examinée pour déterminer l’indemnisation (PL 12'938, p. 28 https://ge.ch/grandconseil/data/texte/ PL12938.pdf). L’art. 4 LAFE-2021 a trait aux entreprises bénéficiaires, soit notamment celles qui, en raison des mesures prises par la Confédération ou le canton pour endiguer l’épidémie de Covid-19, doivent cesser totalement ou partiellement leur activité selon les dispositions de l’ordonnance Covid-19 (let. a), dont la baisse du CA enregistré se situe entre 25% et 40% et qui ne couvrent pas leurs coûts fixes (indemnisation cantonale ; let. c). Dans les deux cas, l’indemnité maximale par entreprise ne dépasse pas la somme totale de CHF 1'000'000.- (art. 7 et</w:t>
      </w:r>
    </w:p>
    <w:p>
      <w:r>
        <w:rPr>
          <w:b/>
        </w:rPr>
        <w:t>E. 4.4</w:t>
      </w:r>
    </w:p>
    <w:p>
      <w:r>
        <w:t>Le RAFE-2021 a été modifié le 7 juillet 2021 (ROLG 2021, p. 466). Les dispositions pertinentes à la résolution du cas d’espèce n’ont toutefois pas été substantiellement modifiées à cette occasion. Le cas des entreprises avec un CA moyen 2018-2019 de CHF 5'000'000.- au plus est réglé au chapitre 1 du Titre II du RAFE 2021. Celles dont l’activité était totalement ou partiellement interdite peuvent prétendre à une aide financière si elles avaient dû cesser totalement ou partiellement leur activité pendant au moins 40 jours entre le 1er novembre 2020 et le 30 juin 2021 (art. 8 al. 1 RAFE-2021). Le montant de l’indemnité correspond aux coûts fixes 2020 admis calculés à compter du 1er janvier 2021 au prorata du nombre de jours pendant lesquels l’activité était totalement ou partiellement interdite (art. 9 al. 1 RAFE-2021). L’indemnité maximale par entreprise pour l’année 2021 ne dépasse pas la somme totale de CHF 1'000'000.- et 20% du CA (art. 10 RAFE- 2021). Les entreprises dont la baisse du CA, calculée sur une période de douze mois comprise entre le 1er janvier 2020 et le 30 juin 2021, se situe entre 25% et 40% du CA moyen déterminé selon les modalités de l’ordonnance Covid-19 cas de rigueur peuvent prétendre à l’aide financière cantonale (art. 14 RAFE-2021). Selon l’art. 15 RAFE-2021, le montant de l’indemnité pour l’année 2020 correspond à la différence entre les coûts totaux, hors impôts et taxes, et le CA de l’entreprise en 2020 (al. 1). L’indemnité octroyée est versée à titre d’acompte, le montant définitif étant déterminé sur la base d’un examen a posteriori des états financiers de l’entreprise bénéficiaire au 30 juin 2021 (al. 3). L’entreprise bénéficiaire remet au département les états financiers visés à l’al. 3 au moment du dépôt de la demande, si disponibles, mais au plus tard le 31 octobre 2021 (al. 4). En outre, elle doit notamment produire les bilans et comptes de résultats 2018, 2019 et 2020 (art. 24 al. 1 let. b RAFE-2021). Elle doit collaborer à l’instruction du dossier et renseigner régulièrement le département afin de lui présenter une image fidèle et transparente de la marche de ses affaires (art. 25 RAFE-2021).</w:t>
      </w:r>
    </w:p>
    <w:p>
      <w:r>
        <w:rPr>
          <w:b/>
        </w:rPr>
        <w:t>E. 4.5</w:t>
      </w:r>
    </w:p>
    <w:p>
      <w:r>
        <w:t>La comptabilité commerciale des entreprises est indispensable à l’État pour connaître les bases d’imposition et effectuer les taxations appropriées. Parfois, les règles fiscales, qui reflètent les préoccupations de prélèvements publics, divergeront des règles comptables, qui se concentrent sur la gestion de l’entreprise. Des ajustements seront alors nécessaires en fonction du public visé par les états financiers (Rémy BUCHELER, Abrégé de droit comptable, 2015, p. 5 n. 4). Selon l’art. 957a de la loi fédérale du 30 mars 1911, complétant le Code civil suisse (CO, Code des obligations - RS 220), la comptabilité constitue la base de l’établissement des comptes. Elle enregistre les transactions et les autres faits nécessaires à la présentation du patrimoine, de la situation financière et des résultats de l’entreprise (situation économique ; al. 1).</w:t>
      </w:r>
    </w:p>
    <w:p>
      <w:r>
        <w:t>- 10/15 - A/3611/2023 Les comptes sont présentés dans le rapport de gestion. Ce dernier contient les comptes annuels individuels (comptes annuels) qui se composent du bilan, du compte de résultat et de l’annexe. Les dispositions applicables aux grandes entreprises et aux groupes sont réservées (art. 959b al. 2 CO). L’art. 959b CO traite de la structure minimale du compte de résultat. Il y est précisé que le compte de résultat reflète les résultats de l’entreprise durant l’exercice. Il peut être établi selon la méthode de l’affectation des charges par nature ou selon la méthode de l’affectation des charges par fonction (al. 1). Que le compte de résultats soit établi par nature ou par fonction, il doit comporter au moins les postes qui sont énoncés aux al. 2 et 3 de cette disposition. Les postes doivent être indiqués séparément et selon une structure précise. Doivent figurer les produits nets des ventes de biens et de prestations de services (al. 2 ch. 1 ; al. 3 ch. 1) et, séparément, notamment les charges et produits financiers (al. 2 ch. 7 ; al. 3 ch. 4) ; les charges et produits hors exploitation (al. 2 ch. 8 ; al. 3 ch. 5), ainsi que les charges et produits exceptionnels, uniques ou hors période (al. 2 ch. 9 ; al. 3 ch. 6). Les charges et les produits exceptionnels visés aux al. 2, ch. 9, et 3, ch. 6, se réfèrent à des événements inhabituels, généralement uniques ou qui ne sont pas directement liés à la marche des affaires (Message concernant la révision du code des obligations du 21 décembre 2007, FF 2008 1407, 1526). Compte tenu de ce critère, ce poste comprend à la fois ce qui ne fait pas partie de l'activité ordinaire de l'entreprise et à la fois ce qui ne se produit généralement qu'une fois, même si cela survient dans la sphère des activités ordinaires de l'entreprise (Henry TORRIONE/Aurélien BARAKAT, in Commentaire romand, CO II, 2017, n. 14 ad art. 959b CO).</w:t>
      </w:r>
    </w:p>
    <w:p>
      <w:r>
        <w:rPr>
          <w:b/>
        </w:rPr>
        <w:t>E. 4.6</w:t>
      </w:r>
    </w:p>
    <w:p>
      <w:r>
        <w:t>La notion de CA n'est pas définie explicitement par le droit comptable. Cette même notion est utilisée dans le cadre du droit de la révision sans définition législative explicite. Le comité de la conférence suisse des impôts prend en compte les rabais commerciaux, remises et pertes sur débiteurs ainsi que les annulations. Le CA s'entend hors TVA. Il ne comprend pas uniquement le CA résultant des ventes et des prestations de services, notion régulièrement mentionnées dans la loi. En effet, les sources de revenus sont bien plus larges. Selon la chambre fiduciaire, « le CA englobe en principe tous les revenus du compte de résultat. En font partie tous les produits d'exploitation, produits hors exploitation et produits exceptionnels, notamment les produits d'intérêts, de dividendes et de licences. Dans le cas de produits exceptionnels, il convient le cas échéant de procéder à une différenciation ». Tous les revenus tirés par l'entreprise de ses activités, quelles qu'elles soient, sont ainsi pertinents pour l'appréciation de sa situation économique (Rémy BUCHELER, op. cit., p. 56 et 57).</w:t>
      </w:r>
    </w:p>
    <w:p>
      <w:r>
        <w:rPr>
          <w:b/>
        </w:rPr>
        <w:t>E. 4.7</w:t>
      </w:r>
    </w:p>
    <w:p>
      <w:r>
        <w:t>Les sociétés énumérées à l'art 727 al. 1 CO sont tenues de soumettre leurs comptes annuels et, le cas échéant, leurs comptes consolidés au contrôle ordinaire d’un organe de révision. Sont notamment concernées les sociétés dites d'une certaine importance économique (art. 727 al. 1 ch. 2 CO). Les critères permettant</w:t>
      </w:r>
    </w:p>
    <w:p>
      <w:r>
        <w:t>- 11/15 - A/3611/2023 de les identifier sont le total du bilan, le CA et la moyenne annuelle des emplois à plein temps. Le CA équivaut au CA net, c'est-à-dire le CA brut, soit la somme de l'ensemble des produits, moins les rabais, escomptes et retours. Il sera tenu compte de tous les produits, aussi bien des produits d'exploitation ou financiers que des produits extraordinaires (Henry PETER/Emmanuel GENEQUAND/Francesca CAVADANI, in Commentaire romand, CO II, 2017, n. 22 et 24a ad art. 727 CO).</w:t>
      </w:r>
    </w:p>
    <w:p>
      <w:r>
        <w:rPr>
          <w:b/>
        </w:rPr>
        <w:t>E. 4.8</w:t>
      </w:r>
    </w:p>
    <w:p>
      <w:r>
        <w:t>Dans un arrêt récent, la chambre de céans a retenu, au sujet de la notion de CA et de sa détermination, que, vu l’absence de définition de celui-ci dans les lois et ordonnances applicables en matière de Covid-19, le fait que les aides pour cas de rigueur n’avaient pas pour but de combler les lacunes résultant de débiteurs insolvables d’avant la pandémie, les bases légales applicables à la comptabilité commerciale et la référence à d’autres lois le définissant, l’autorité pouvait, à juste titre, considérer que le CA résultait de la somme des ventes de biens ou de services d’une entreprise au cours d’un exercice comptable. Dans le cas tranché, où le CA moyen 2018-2019 de l'entreprise sollicitant l'aide financière était supérieur à CHF 5'000'000.-, l'autorité s’était valablement tenue à l’addition des encaissements, soit aux produits des ventes réalisées par la recourante, sans prendre en compte la variation de la provision pour débiteurs douteux dans son CA en 2019 ni la provision pour débiteurs douteux et les pertes sur débiteurs en 2020. Cette manière de faire, en ce qu’elle permettait d’identifier les seules pertes en lien avec les mesures adoptées pour lutter contre l’épidémie, n’était pas choquante et permettait d’appréhender l’activité réelle de l’entreprise dans le respect de l’art. 3 al. 3 LAFE-2021 (ATA/474/2023 du 24 avril 2023 consid. 9). Ultérieurement, la chambre de céans a retenu, en se fondant sur l'aLAFE-2021, que l'autorité avait valablement relevé que la loi exigeait que deux conditions cumulatives fussent remplies pour percevoir l’aide « cas de rigueur », soit un certain taux de baisse du CA et l’absence de couverture des coûts fixes de la société. L’abandon de créance de l'actionnaire, reporté dans les comptes définitifs de résultat de la recourante au 31 décembre 2020, lui permettant de générer un bénéfice, devait être pris en compte dans le CA. La recourante avait d’ailleurs fait l’objet de taxations fiscales communale, cantonale et fédérale sur ledit bénéfice qu’elle n’avait pas contestées. La jurisprudence fédérale retenait également que les prestations des actionnaires à des fins d’assainissement, en particulier les remises de dette, constituaient un rendement (ATA/1073/2023 du 28 septembre 2023 consid. 2.4). Récemment, la chambre de céans a retenu qu'une entreprise devait se laisser opposer les choix comptables qu’elle avait opérés et ne pouvait de bonne foi contredire les comptes qu’elle avait régulièrement établis, et prétendre que fût qualifié différemment un produit selon qu’elle le présentât au fisc ou à l’autorité à laquelle elle réclamait une subvention. C’était en effet une unique situation économique qu’elle devait en tout temps présenter de manière transparente au</w:t>
      </w:r>
    </w:p>
    <w:p>
      <w:r>
        <w:t>- 12/15 - A/3611/2023 département dans le cadre de sa demande d’aide (art. 24 al. 1 let. b et 25 RAFE-2021; ATA/1076/2023 du 2 octobre 2023 consid. 2.7). Plus récemment encore, la chambre administrative a estimé qu’il était acceptable que le département inclue dans le CA la dissolution des provisions. En effet, dans la mesure où la loi ne définissait pas la notion de CA, le département disposait d'un pouvoir d'appréciation pour le déterminer. Son approche trouvait à ce titre un ancrage juridique et n'était donc pas sans pertinence, dans la mesure où elle était fondée sur les règles relatives aux art. 727 al. 1 ch. 2 CO et 957 al. 2 ch. 1 CO. Quand bien même ces deux dispositions traitaient de cas particuliers, soit la détermination du type de révision et l'allégement de tenir une comptabilité, la définition « élargie » du CA telle qu'elle en ressortait et telle qu’adoptée par le département permettait d'apprécier au mieux la situation économique de l'entreprise et donc de tenir compte de son activité réelle (art. 3 al. 3 LAFE-2021). Une telle approche était nécessaire dans cette situation inédite de crise sanitaire et économique, où il ne s'agissait pas de procurer des revenus supplémentaires aux entreprises, mais bien de leur permettre de continuer leur activité et d'éviter leur faillite (ATA/429/2024 du 26 mars 2024, consid. 7).</w:t>
      </w:r>
    </w:p>
    <w:p>
      <w:r>
        <w:rPr>
          <w:b/>
        </w:rPr>
        <w:t>E. 4.9</w:t>
      </w:r>
    </w:p>
    <w:p>
      <w:r>
        <w:t>Le droit fiscal et le droit comptable suisses poursuivent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(ATA/778/2016 du 13 septembre 2016 consid. 8 et les références citées). Dans ce contexte, les règles correctrices fiscales figurant à l’art. 58 al. 1 let. b et c de la loi fédérale sur l’impôt fédéral direct du 14 décembre 1990 (LIFD - RS 642.11)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(ATA/259/2024 du 27 février 2024 consid. 4.7 et l'arrêt cité ; Pierre-Marie GLAUSER, Apports et impôt sur le bénéfice, vol. 2, 2005, pp. 96-97).</w:t>
      </w:r>
    </w:p>
    <w:p>
      <w:r>
        <w:rPr>
          <w:b/>
        </w:rPr>
        <w:t>E. 4.10</w:t>
      </w:r>
    </w:p>
    <w:p>
      <w:r>
        <w:t>En l’espèce, la question est de savoir si le montant réclamé en restitution a été indûment perçu au sens de l’art. 17 LAFE-2021. Le département a pris en compte la dissolution de la provision constituée en 2018 dans le calcul du CA de 2020. Cette façon de procéder est conforme aux dispositions légales précitées ainsi qu’à la jurisprudence de la chambre administrative, selon laquelle le CA devait être pris en compte de façon élargie et qui avait confirmé les calculs du département qui avait inclus la dissolution d’une provision dans celui-ci. L’intimé, qui bénéficie d’un large pouvoir d’appréciation, était donc fondé à tenir compte du montant de CHF 189'000.- dans le CA de 2020.</w:t>
      </w:r>
    </w:p>
    <w:p>
      <w:r>
        <w:t>- 13/15 - A/3611/2023 De plus, au vu de la situation d'urgence à laquelle l'État a été confronté (voir les art. 23 loi aLAFE-2021 et 24 LAFE-2021 déclarant l'urgence) et compte tenu du nombre considérable de demandes d'aides déposées (10'000) et à traiter dans un laps de temps restreint, il n'était pas envisageable d'exiger de l'intimé qu'il analyse au cas par cas chaque demande, en particulier chaque poste des produits exceptionnels, dans une optique de retrancher, le cas échéant, certains montants du CA pris en compte. Une certaine schématisation apparaissait ainsi nécessaire et inévitable. Partant, l'intimé pouvait, sans abuser de son pouvoir d'appréciation, se fonder sur les comptes annuels transmis par les sociétés requérantes et considérer que l'ensemble des postes des produits exceptionnels (et des produits financiers) y figurant devait être pris en compte dans la détermination du CA. Cette approche se justifie également par le fait qu'elle permet de tenir compte au mieux de la situation financière réelle de chaque entreprise. Cette solution s'impose d'autant plus qu'il ressort des taxations pour l’année 2020 de la recourante que celle-ci ne s'est pas opposée à ce que la dissolution de la provision soit prise en compte dans le calcul de son bénéfice imposable, ce qu'elle ne conteste du reste pas. Dès lors, elle doit se laisser opposer les choix comptables qu’elle a opérés et ne saurait de bonne foi contredire les comptes qu’elle a régulièrement établis et présentés aux autorités fiscales. Il convient à cet égard de relever que la référence à sa taxation est pertinente, puisque le droit fiscal tient compte au mieux de la réelle situation patrimoniale d’une société. Il sied enfin de préciser que la prise en compte du CA « élargi » pour les entreprises dont le CA moyen 2018-2019 est inférieur à CHF 5'000'000.- n'est pas constitutive d'inégalité de traitement par rapport aux entreprises dont le CA moyen est supérieur à CHF 5'000'000.-. En effet, pour les premières, l'indemnité sert à couvrir les coûts totaux non couverts par le CA de l'entreprise en 2020. En revanche, pour les secondes, le législateur fédéral a clairement exprimé sa volonté que la contribution soit fondée sur les coûts non couverts liés au recul du CA (art. 12 al. 1quinquies let. b loi Covid-19), ceci afin d'éviter la surindemnisation de certaines grandes entreprises (Message relatif à une modification de la loi COVID-19 [cas de rigueur, assurance-chômage, accueil extra-familial pour enfants et acteurs culturels], à un arrêté fédéral concernant le financement des mesures pour les cas de rigueur prévues par la loi COVID-19 et à une modification de la loi sur l’assurance-chômage, FF 2021 285, p. 27). Dès lors, le montant de l'indemnité octroyée dans chacun des deux cas précités est composé d'éléments (de calcul) différents (art. 15 al. 1 et 20 al. 1 RAFE-2021), tenant compte de l'importance économique respective des entreprises requérantes. Les deux situations n'apparaissent donc pas en tous points identiques, et ce sur des éléments centraux, ce qui rend une différence de traitement acceptable. Le résultat de cette façon de procéder n’apparaît au demeurant pas choquant, puisque, comme l’a expliqué la recourante, la provision avait été créée en 2018, notamment afin de verser un bonus à l’administrateur. Au vu de la situation difficile</w:t>
      </w:r>
    </w:p>
    <w:p>
      <w:r>
        <w:t>- 14/15 - A/3611/2023 lors de l’épidémie, ce dernier a renoncé au paiement du bonus, de sorte que la provision a été dissoute et ainsi utilisée à d’autres fins, tel que le paiement de charges de la recourante. Ainsi, si ce montant n’était pas pris en compte dans le calcul de l’aide, cela aurait pour effet de surindemniser la recourante, qui avait un montant liquide disponible supérieur de CHF 189'000.- à ce qu’elle avait déclaré. Mal fondé, le grief sera écarté. Au vu de ce qui précède, le recours sera rejeté. 5. Vu l’issue du litige, un émolument de CHF 500.- sera mis à la charge de la recourante (art. 87 al. 1 LPA) et aucune indemnité de procédure ne sera allouée (art. 87 al. 2 LPA). * * * * *</w:t>
      </w:r>
    </w:p>
    <w:p>
      <w:r>
        <w:rPr>
          <w:b/>
        </w:rPr>
        <w:t>E. 8</w:t>
      </w:r>
    </w:p>
    <w:p>
      <w:r>
        <w:t>LAFE-2021). Selon l’art. 9 al. 1 let. a LAFE-2021, l’État de Genève peut octroyer sans participation financière de la Confédération des aides en faveur des entreprises dont la baisse de CA enregistrée se situe entre 25% et 40% du CA moyen des exercices 2018 et 2019. Cette indemnité cantonale, par entreprise et pour la période du 1er janvier 2020 au 30 juin 2021 ne dépasse pas la somme totale de CHF 1'000'000.- et 20% du CA (art. 10 al. 1 LAFE-2021).</w:t>
      </w:r>
    </w:p>
    <w:p>
      <w:r>
        <w:t>- 9/15 - A/3611/2023 Les montants indûment perçus, conformément à l’art. 17 LAFE-2021 doivent être restitués (art. 29 al. 3 du règlement d’application de la LAFE-2021 du 5 mai 2021 - ROLG 2021, p. 283 ; ci-après : RAFE-2021, entré en vigueur le 5 mai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