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ATA/524/2011 vom 30. August 2011</w:t>
      </w:r>
    </w:p>
    <w:p>
      <w:r>
        <w:t>GE Cour de justice, 2011-08-30, FR</w:t>
      </w:r>
    </w:p>
    <w:p>
      <w:r>
        <w:rPr>
          <w:b/>
        </w:rPr>
        <w:t xml:space="preserve">Quelle: </w:t>
      </w:r>
      <w:r>
        <w:t>https://mcp.opencaselaw.ch/entscheid/ge_gerichte_ATA_524_2011</w:t>
      </w:r>
    </w:p>
    <w:p>
      <w:r>
        <w:t>FR: GE_GERICHTE ATA/524/2011 du 30 août 2011</w:t>
      </w:r>
    </w:p>
    <w:p>
      <w:r>
        <w:t>IT: GE_GERICHTE ATA/524/2011 del 30 agosto 2011</w:t>
      </w:r>
    </w:p>
    <w:p>
      <w:pPr>
        <w:pStyle w:val="Heading2"/>
      </w:pPr>
      <w:r>
        <w:t>Regeste</w:t>
      </w:r>
    </w:p>
    <w:p>
      <w:r>
        <w:t>Résumé: Elimination de la procédure d'appel d'offre d'un soumissionnaire ayant déposé son offre après le délai prescrit.</w:t>
      </w:r>
    </w:p>
    <w:p>
      <w:pPr>
        <w:pStyle w:val="Heading2"/>
      </w:pPr>
      <w:r>
        <w:t>Erwägungen</w:t>
      </w:r>
    </w:p>
    <w:p>
      <w:r>
        <w:rPr>
          <w:b/>
        </w:rPr>
        <w:t>E. 1</w:t>
      </w:r>
    </w:p>
    <w:p>
      <w:r>
        <w:t>Interjeté en temps utile et devant la juridiction compétente, le recours est recevable de ce point de vue (art. 131 et 132 de la loi sur l’organisation judiciaire du 26 septembre 2010 - LOJ - E 2 05 ; art. 15 AIMP, dont la recourante ne conteste pas l'applicabilité en l'espèce ; art. 3 al. 1 de la loi autorisant le Conseil d’Etat à adhérer à l’accord intercantonal sur les marchés publics du 12 juin 1997 - LAIMP - L 6 05.0).</w:t>
      </w:r>
    </w:p>
    <w:p>
      <w:r>
        <w:rPr>
          <w:b/>
        </w:rPr>
        <w:t>E. 2</w:t>
      </w:r>
    </w:p>
    <w:p>
      <w:r>
        <w:t>La qualité pour recourir appartient à toute personne touchée directement par une décision et ayant un intérêt personnel digne de protection à ce qu'elle soit annulée ou modifiée (art. 60 let. b de la loi sur la procédure administrative du 12 septembre 1985 - LPA - E 5 10). Tel est le cas de celle à laquelle la décision attaquée apporte des inconvénients qui pourraient être évités grâce au succès du recours, qu'il s'agisse d'intérêts juridiques ou de simples intérêts de fait (ATA/221/2011 du 5 avril 2011 et les références citées).</w:t>
      </w:r>
    </w:p>
    <w:p>
      <w:r>
        <w:t>En tant que soumissionnaire exclu, la société dispose de la qualité pour recourir (art. 15 al. 1bis let. d AIMP ; art. 55 let. c du règlement sur la passation des marchés publics du 17 décembre 2007 - RMP - L 6 05.01).</w:t>
      </w:r>
    </w:p>
    <w:p>
      <w:r>
        <w:rPr>
          <w:b/>
        </w:rPr>
        <w:t>E. 3</w:t>
      </w:r>
    </w:p>
    <w:p>
      <w:r>
        <w:t>L’AIMP a pour objectif l’ouverture des marchés publics (art. 1 al. 1 AIMP). Il vise à harmoniser les règles de passation des marchés ainsi qu’à transposer les obligations découlant de l’accord GATT/OMC ainsi que de l’accord entre la communauté européenne et la Confédération suisse (art. 1 al. 2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11 let. a et b AIMP).</w:t>
      </w:r>
    </w:p>
    <w:p>
      <w:r>
        <w:rPr>
          <w:b/>
        </w:rPr>
        <w:t>E. 4</w:t>
      </w:r>
    </w:p>
    <w:p>
      <w:r>
        <w:t>Aux termes de l’art. 39 RMP, l’autorité adjudicatrice examine la conformité des offres au cahier des charges et contrôle leur chiffrage (al. 1), cas échéant, corrige les erreurs évidentes, telles que les erreurs de calcul et d’écriture (al. 2). L’art. 40 RMP stipule que l’autorité adjudicatrice peut demander au soumissionnaire des explications relatives à leur aptitude et à leur offre (al. 1). Les explications sont en principe fournies par écrit (al. 2).</w:t>
      </w:r>
    </w:p>
    <w:p>
      <w:r>
        <w:rPr>
          <w:b/>
        </w:rPr>
        <w:t>E. 5</w:t>
      </w:r>
    </w:p>
    <w:p>
      <w:r>
        <w:t>L’offre d’un soumissionnaire est écartée d’office par une décision d’exclusion lorsque son offre est tardive, incomplète ou non-conforme aux exigences du cahier des charges (art. 42 al. 1 let. a RMP).</w:t>
      </w:r>
    </w:p>
    <w:p>
      <w:r>
        <w:t>- 5/7 - A/2021/2011</w:t>
      </w:r>
    </w:p>
    <w:p>
      <w:r>
        <w:rPr>
          <w:b/>
        </w:rPr>
        <w:t>E. 6</w:t>
      </w:r>
    </w:p>
    <w:p>
      <w:r>
        <w:t>Le droit des marchés publics est formaliste, comme la chambre de céans l’a déjà rappelé à plusieurs reprises (ATA/457/2011 du 26 juillet 2011 et les références citées) et c’est dans le respect de ce formalisme que l’autorité adjudicatrice doit procéder à l’examen de la recevabilité des offres et à leur évaluation.</w:t>
      </w:r>
    </w:p>
    <w:p>
      <w:r>
        <w:rPr>
          <w:b/>
        </w:rPr>
        <w:t>E. 7</w:t>
      </w:r>
    </w:p>
    <w:p>
      <w:r>
        <w:t>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 C’est dans ce sens que des erreurs de calcul et d’écriture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 de ne procéder à ce type de questionnement que de manière restrictive et seulement lorsque l’offre est, au demeurant, conforme aux conditions de l’appel d’offres (J.-B. ZUFFEREY/C. MAILLARD/N. MICHEL, Droit des marchés publics, 2002, p. 110 ; O. RODONDI La gestion de la procédure de soumission, cité ci-après : La gestion in ZUFFEREY, STOECKLI Droit des marchés publics 2008 p. 185 no 63, p. 186).</w:t>
      </w:r>
    </w:p>
    <w:p>
      <w:r>
        <w:rPr>
          <w:b/>
        </w:rPr>
        <w:t>E. 8</w:t>
      </w:r>
    </w:p>
    <w:p>
      <w:r>
        <w:t>En l'espèce, la recourante ne conteste pas que l'offre déposée était tardive. La date d'échéance pour le dépôt des offres ayant figuré dans la FAO du 18 avril 2011, puis rappelée en caractère gras aux soumissionnaires dans le dossier d'appel d'offres qui leur a ensuite été communiqué, était connue de la recourante. Elle a été signifiée une fois encore dans le courrier du 6 mai 2011, que la société ne conteste pas avoir reçu. Enfin, aucune des conditions d'application du principe de la bonne foi n'est réalisée (ATF131 II 627 consid. 6.1 p. 637 ; 129 I 161 consid. 4.1 p. 170 ; 122 II 113 consid. 3b/cc p. 123 et les références citées ; Arrêt du Tribunal fédéral 1P.373/2006 du 18 octobre 2006 consid. 2 ; G. MULLER/U. HÄFELIN/F.UHLMANN, Allgemeines Verwaltungsrecht, Zürich 2006, 5ème éd., p. 130ss ; A. AUER/G. MALINVERNI/M. HOTTELIER, Droit constitutionnel suisse, Berne 2006, Vol. 2, 2ème éd., p. 546, n. 1165ss ; P. MOOR, Droit administratif, Berne 1994, Vol. 1, 2ème éd., p. 430, n. 5.3.2.1).</w:t>
      </w:r>
    </w:p>
    <w:p>
      <w:r>
        <w:t>Le recours ne peut ainsi qu'être rejeté.</w:t>
      </w:r>
    </w:p>
    <w:p>
      <w:r>
        <w:rPr>
          <w:b/>
        </w:rPr>
        <w:t>E. 9</w:t>
      </w:r>
    </w:p>
    <w:p>
      <w:r>
        <w:t>Un émolument de CHF 1'000.- sera mis à la charge de la société qui succombe (art. 87 LPA).</w:t>
      </w:r>
    </w:p>
    <w:p>
      <w:r>
        <w:t>* * * * *</w:t>
      </w:r>
    </w:p>
    <w:p>
      <w:r>
        <w:t>- 6/7 - A/2021/2011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