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ATA/523/2021 vom 18. Mai 2021</w:t>
      </w:r>
    </w:p>
    <w:p>
      <w:r>
        <w:t>GE Cour de justice, 2021-05-18, FR</w:t>
      </w:r>
    </w:p>
    <w:p>
      <w:r>
        <w:rPr>
          <w:b/>
        </w:rPr>
        <w:t xml:space="preserve">Quelle: </w:t>
      </w:r>
      <w:r>
        <w:t>https://mcp.opencaselaw.ch/entscheid/ge_gerichte_ATA_523_2021</w:t>
      </w:r>
    </w:p>
    <w:p>
      <w:r>
        <w:t>FR: GE_GERICHTE ATA/523/2021 du 18 mai 2021</w:t>
      </w:r>
    </w:p>
    <w:p>
      <w:r>
        <w:t>IT: GE_GERICHTE ATA/523/2021 del 18 maggio 2021</w:t>
      </w:r>
    </w:p>
    <w:p>
      <w:pPr>
        <w:pStyle w:val="Heading2"/>
      </w:pPr>
      <w:r>
        <w:t>Regeste</w:t>
      </w:r>
    </w:p>
    <w:p>
      <w:r>
        <w:t>Résumé: Rejet du recours contre l’octroi de la somme de CHF 2'000.- à titre de réparation morale par l’instance d’indemnisation LAVI, au motif que la recourante, dont l’appartement a été volé pendant son absence et celle de son mari et souffrant de la maladie d’Alzheimer, n’a pas la qualité de victime LAVI, faute de remplir l’une des trois conditions cumulatives, à savoir celle du lien direct entre l’infraction pénale en cause et la dégradation de son état de santé psychique qu’elle allègue à l’appui d’une attestation médicale et des témoignages de sa médecin et de sa fille.</w:t>
      </w:r>
    </w:p>
    <w:p>
      <w:pPr>
        <w:pStyle w:val="Heading2"/>
      </w:pPr>
      <w:r>
        <w:t>Erwägungen</w:t>
      </w:r>
    </w:p>
    <w:p>
      <w:r>
        <w:rPr>
          <w:b/>
        </w:rPr>
        <w:t>E. 4</w:t>
      </w:r>
    </w:p>
    <w:p>
      <w:r>
        <w:t>octobre 1991 sur l’aide aux victimes d’infractions (message du Conseil fédéral du 9 novembre 2005 concernant la révision totale de la LAVI, ci-après : le message de 2005, FF 2005 6683, p. 6695, 6704 et 6722).</w:t>
      </w:r>
    </w:p>
    <w:p>
      <w:r>
        <w:t>La qualité de victime au sens de la LAVI est subordonnée à la réalisation de trois conditions cumulatives : la personne doit avoir subi une atteinte à son intégrité physique, psychique ou sexuelle ; cette atteinte doit avoir été causée par une infraction ; l’atteinte doit être la conséquence directe de l’infraction (ATA/304/2016 du 12 avril 2016 consid. 5 et les références citées ; recommandations de la Conférence suisse des offices de liaison de la LAVI pour l'application de la LAVI du 21 janvier 2010, ci-après : les recommandations CSOL-LAVI, p. 8 ss ; Cédric MIZEL, La qualité de victime LAVI et la mesure actuelle des droits qui en découlent in JdT 2003 IV p. 38 ss, p. 42 ss ; Stéphanie CONVERSET, op. cit., p. 26 ss).</w:t>
      </w:r>
    </w:p>
    <w:p>
      <w:r>
        <w:t>c. En ce qui concerne la troisième condition, d'une atteinte soit « directe », la volonté du législateur était d’exclure les atteintes qu’une personne peut subir, par exemple, à la suite de délits contre l’honneur, de voies de fait, d’un vol ou d’une escroquerie et qui sont des conséquences indirectes de ces infractions (message du Conseil fédéral du 25 avril 1990 concernant la LAVI et l’arrêté fédéral portant approbation de la Convention européenne relative au dédommagement des victimes d’infractions violentes, FF 1990 II 909, p. 925).</w:t>
      </w:r>
    </w:p>
    <w:p>
      <w:r>
        <w:t>Selon la jurisprudence du Tribunal fédéral, le caractère direct de l’atteinte (ou immédiateté de l’atteinte) est un élément fondamental du concept de victime (ATF 129 IV 95 consid. 3.1). L’atteinte doit être la conséquence directe de l’acte appréhendé par les éléments constitutifs de l’infraction pénale (« diese Beeinträchtigung unmittelbare Folge der tatbestandsmässigen Handlung ist » ; ATF 129 IV 95 consid. 3.1 et les arrêts cités ; 120 Ia 220 consid. 3b). L’exigence d’un lien de causalité direct est particulièrement importante en cas d’atteinte à l’intégrité psychique (Stéphanie CONVERSET, op. cit., p. 30 s et les arrêts cités).</w:t>
      </w:r>
    </w:p>
    <w:p>
      <w:r>
        <w:t>Selon MIZEL, en matière d’atteintes au patrimoine, l’atteinte à l’intégrité psychique de la victime d’un vol est cas échéant provoquée par le dommage subi par son patrimoine, la victime ne pouvant moralement pas supporter la perte matérielle ou ses conséquences. Ainsi, l’exigence du lien de causalité direct entre l’infraction et l’atteinte à l’intégrité psychique n’est normalement pas remplie. Il n’est toutefois pas interdit de considérer que même une infraction contre le patrimoine puisse éventuellement fonder la qualité de victime LAVI dans des cas exceptionnels du fait d’une situation spécifique de la personne lésée ou du fait de</w:t>
      </w:r>
    </w:p>
    <w:p>
      <w:r>
        <w:t>- 10/14 - A/870/2021 la situation particulière dans laquelle l’atteinte surviendrait. Tel est par exemple le cas d’un vol particulièrement audacieux dans la manière d’agir de l’auteur, la façon d’exercer le vol par métier (par exemple en concours avec un abus de confiance grave), ou encore la façon d’agir de l’auteur dénotant qu’il est particulièrement dangereux, toutes les infractions susceptibles de provoquer chez la victime, à court ou à moyen terme, des dommages psychiques (Cédric MIZEL, op. cit., p. 67 et les références citées).</w:t>
      </w:r>
    </w:p>
    <w:p>
      <w:r>
        <w:t>Les recommandations CSOL-LAVI soulignent que les infractions contre le patrimoine (art. 137 ss CP), à l’exception du brigandage et de l’extorsion/chantage (art. 140 et 156 CP) qui servent aussi à protéger l’intégrité physique et psychique, et d’autres infractions citées ne confèrent pas la qualité de victime, en l’absence de caractère immédiat, après avoir rappelé que presque toutes les infractions, par exemple le vol ou l’escroquerie, peuvent avoir pour conséquence une atteinte psychique de la personne concernée. L’exigence de l’immédiateté précise que seules les infractions dirigées contre l’intégrité physique, sexuelle ou psychique peuvent amener à l’application de la LAVI (p. 12, n. 2.5).</w:t>
      </w:r>
    </w:p>
    <w:p>
      <w:r>
        <w:t>d. Selon MIZEL, l’appréciation du caractère direct des effets de l’infraction sur la victime, de façon assez analogue à celle de l’intensité desdits effets, doit être menée objectivement et conformément à l’expérience de la vie. Il ne pourra ainsi être tenu compte que de manière très limitée de l’éventuelle sensibilité particulière d’un lésé. En d’autres termes, si l’état de fait amène à considérer qu’une infraction ne peut objectivement avoir touché directement un lésé, le caractère perçu comme direct d’éventuelles atteintes ressenties par ce dernier ne permettra en principe pas de fonder sa qualité de victime au sens de la LAVI (Cédric MIZEL, op. cit., p. 49).</w:t>
      </w:r>
    </w:p>
    <w:p>
      <w:r>
        <w:t>Cet auteur rappelle notamment l’ATF 120 Ia 157 consid. 2d/aa où le Tribunal fédéral a nié la qualité de victime LAVI d’une personne, lésée par une escroquerie, qui invoquait des lésions psychiques, soignées médicalement, consécutives aux actes d’extorsion et de contrainte dont l’infraction avait été accompagnée. Le Tribunal fédéral a considéré que, selon l’expérience générale de la vie, les aspects patrimoniaux de l’escroquerie en cause se trouvaient clairement au premier plan, de sorte qu’il n’était pas perceptible que les faits pénaux allégués par le lésé aient atteint son intégrité psychique de façon directe, observant en outre qu’il ne pouvait être tenu compte que d’une façon limitée d’une éventuelle sensibilité subjective particulière du lésé (Cédric MIZEL, op. cit., p. 49 qui fait référence à l’ATF 120 Ia 157 consid. 2d/cc).</w:t>
      </w:r>
    </w:p>
    <w:p>
      <w:r>
        <w:t>e. L’atteinte doit en outre être d’une certaine gravité (ATF 129 IV 216 consid. 1.2.1 ; 129 IV 95 consid. 3.1). Cela se détermine en fonction de l’ensemble des circonstances du cas concret (ATF 129 IV 95 consid. 3.1). Les délits de peu de gravité tels que les voies de fait, qui ne causent pas de lésions, sont en principe exclus du champ d’application de la LAVI ; il ne suffit pas que la</w:t>
      </w:r>
    </w:p>
    <w:p>
      <w:r>
        <w:t>- 11/14 - A/870/2021 victime ait subi des désagréments, qu’elle ait eu peur ou qu’elle ait eu quelque mal.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et les références citées ; Cédric MIZEL, op. cit., p. 48 s).</w:t>
      </w:r>
    </w:p>
    <w:p>
      <w:r>
        <w:t>f. À cet égard et comme la gravité de l’atteinte est non seulement une condition de l’octroi de la réparation morale mais sert aussi à fixer le montant de celle-ci, il est utile de mentionner le guide qui vise à permettre l’application uniforme de la LAVI en matière de réparation morale. Ses directives ne lient certes pas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(arrêt du Tribunal fédéral 1C_583/2016 du consid. 4.3 ; ATA/595/2020 du 16 juin 2020 consid. 8b).</w:t>
      </w:r>
    </w:p>
    <w:p>
      <w:r>
        <w:t>La révision de la LAVI a prévu, à l’art. 23 al. 2 LAVI, un plafonnement des sommes allouées à titre de réparation morale, avec pour effet que les montants accordés sur la base de la LAVI seront en règle générale plus bas que les montants qui seraient versés par l’auteur de l’infraction (message de 2005, p. 6701s et 6744s). Selon le Conseil fédéral, pour les infractions commises dès le 1er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autorités cantonales devront dès lors réserver les montants proches du plafond aux cas les plus graves. Sinon il ne sera pas possible de traiter différemment des situations différentes, ce qui serait contraire au principe de l’égalité de traitement (message de 2005, p. 6745).</w:t>
      </w:r>
    </w:p>
    <w:p>
      <w:r>
        <w:t>Le guide prévoit des fourchettes de montants suivant le type d’atteinte, en distinguant les atteintes graves à l’intégrité physique, sexuelle et psychique des victimes, tout en réservant la possibilité de s’en écarter en cas de circonstances particulières (p. 9 ss). Parmi les infractions susceptibles le plus souvent de donner droit à une réparation morale pour atteinte à l’intégrité psychique, le guide mentionne : menaces, contrainte, traite d’êtres humains à des fins d’exploitation de leur travail, séquestration et enlèvement, prise d’otages, brigandage, extorsion et chantage (p. 14). Il prévoit trois fourchettes de montants : jusqu’à CHF 5'000.-,</w:t>
      </w:r>
    </w:p>
    <w:p>
      <w:r>
        <w:t>- 12/14 - A/870/2021 de CHF 5'000.- à CHF 15'000.-, et de CHF 15'000.- à CHF 40'000.-. Pour la première de ces fourchettes, sont donnés, à titre d’exemples, le vol à main armée et les menaces de mort appuyées et répétées. Cette première fourchette correspond à une atteinte à l’intégrité psychique « non négligeable même si temporaire avec circonstances aggravantes déterminées par l’acte, par exemple utilisation d’armes ou d’autres objets dangereux, commission en groupe, acte commis dans un cadre protégé, récidive : longue période et fréquence » (p. 15). Les deux autres fourchettes précitées concernent des cas plus graves, à savoir, pour la deuxième, une atteinte sévère en raison de circonstances dramatiques avec de lourdes séquelles (comme un vol à main armée particulièrement brutal) et, pour la troisième, une atteinte très sévère à la suite d’une violence à l’impact exceptionnel laissant des séquelles psychiques permanentes (comme une maltraitance sévère pendant plusieurs années durant l’enfance ; p. 15). Enfin, le guide précise que dans de très rares cas ou à titre exceptionnel, lorsque les séquelles psychiques persistantes sont si graves que la victime ne peut plus affronter seule son quotidien et se retrouve dans l’incapacité de travailler, il est envisageable d’aller au-delà du montant supérieur de la troisième fourchette (CHF 40'000.- ; p. 15). 5)</w:t>
      </w:r>
    </w:p>
    <w:p>
      <w:r>
        <w:t>En l’espèce, la question déterminante porte sur l’existence d’un lien direct entre le vol avec violation de domicile, admis par les juridictions pénales, et l’atteinte à la santé psychique de la recourante, attestée selon elle par les témoignages de sa médecin et de sa fille, suivant lesquels sa maladie d’Alzheimer aurait connu une aggravation après le cambriolage de décembre 2017.</w:t>
      </w:r>
    </w:p>
    <w:p>
      <w:r>
        <w:t>Le fait que l’attestation médicale du 16 décembre 2019 conclut « probablement [à] un lien clair entre la dégradation de l’état de santé mentale [de la recourante et le] cambriolage » ne démontre pas encore qu’il s’agisse d’un lien direct, certifiant tout au plus la préexistence de cette maladie et une évolution après le vol. Or, pour prétendre à la qualité de victime LAVI, l’infraction doit, d’un point de vue objectif, avoir directement atteint l’intégrité psychique de la personne concernée, ce qui n'est en général pas le cas des infractions contre le patrimoine telles que le vol, en particulier lorsqu’elles sont commises pendant l’absence de la personne lésée comme dans la présente affaire. Le fait que le vol ait été commis en bande et par métier n’y change rien.</w:t>
      </w:r>
    </w:p>
    <w:p>
      <w:r>
        <w:t>La présente espèce ne se distingue pas du cas usuel en ce sens que la commission du vol a été réalisée sans acte directement porté à l’encontre de l’intégrité physique, psychique ou sexuelle – seuls biens protégés par la LAVI (art. 1 al. 1 LAVI) – de la recourante ou de son mari, vu l’absence de tout contact entre ces derniers et les auteurs du cambriolage, ceux-ci ayant soustrait les objets leur appartenant en leur absence. Les circonstances du cambriolage ne mettent pas, d’un point de vue objectif, en lumière d’élément particulièrement choquant ou exceptionnel, même s’il est regrettable pour la recourante, âgée et souffrant d’Alzheimer, de se retrouver sans les bijoux ayant appartenu à sa mère et à sa</w:t>
      </w:r>
    </w:p>
    <w:p>
      <w:r>
        <w:t>- 13/14 - A/870/2021 sœur et de ne pas pouvoir les transmettre à son tour à ses héritiers. La souffrance et la dégradation de son quotidien ainsi que de son état de santé qu’elle allègue à l’appui des pièces et témoignages mentionnés plus haut, trouvent leur origine dans la perte de ses objets, auxquels elle attachait une grande valeur affective, c’est-à- dire dans l’atteinte à son patrimoine, et non dans l’acte de soustraction y ayant conduit. Dès lors, le lien entre l’infraction commise en l’espèce (soit le vol) et la dégradation de l’état de santé psychique alléguée par la recourante n'est qu'indirect. Faute de remplir l’une de trois conditions cumulatives de l’art. 1 al. 1 LAVI, la recourante n’a pas la qualité de victime LAVI et n’a donc pas droit à une réparation morale au sens de cette loi.</w:t>
      </w:r>
    </w:p>
    <w:p>
      <w:r>
        <w:t>En conséquence, il n’y a pas lieu d’examiner la question de la gravité de l’atteinte à la santé psychique de la recourante, ni sous l’angle de l’octroi de la réparation morale ni sous celui de la fixation d’un éventuel montant à ce titre, étant toutefois précisé que les circonstances du cambriolage ici en cause sont loin de se recouper avec les exemples susmentionnés correspondant à la première fourchette prévue par le guide en cas d’atteinte à l’intégrité psychique, qui va jusqu’à CHF 5'000.-, à savoir le vol à main armée ou les menaces de mort appuyées et répétées.</w:t>
      </w:r>
    </w:p>
    <w:p>
      <w:r>
        <w:t>En l’absence d’une disposition spécifique l’y autorisant, la chambre administrative ne peut pas conclure au refus de cette somme à la recourante et modifier ainsi la décision litigieuse à son détriment (art. 69 al. 1 phr. 1 LPA). Le recours doit être rejeté pour les raisons susévoquées. 6)</w:t>
      </w:r>
    </w:p>
    <w:p>
      <w:r>
        <w:t>Vu la matière, aucun émolument ne sera mis à la charge de la recourante (art. 87 al. 1 LPA et 30 al. 1 LAVI). Aucune indemnité de procédure ne lui sera allouée vu l’issue du litige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