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ATA/522/2018 vom 29. Mai 2018</w:t>
      </w:r>
    </w:p>
    <w:p>
      <w:r>
        <w:t>GE Cour de justice, 2018-05-29, FR</w:t>
      </w:r>
    </w:p>
    <w:p>
      <w:r>
        <w:rPr>
          <w:b/>
        </w:rPr>
        <w:t xml:space="preserve">Quelle: </w:t>
      </w:r>
      <w:r>
        <w:t>https://mcp.opencaselaw.ch/entscheid/ge_gerichte_ATA_522_2018</w:t>
      </w:r>
    </w:p>
    <w:p>
      <w:r>
        <w:t>FR: GE_GERICHTE ATA/522/2018 du 29 mai 2018</w:t>
      </w:r>
    </w:p>
    <w:p>
      <w:r>
        <w:t>IT: GE_GERICHTE ATA/522/2018 del 29 maggio 2018</w:t>
      </w:r>
    </w:p>
    <w:p>
      <w:pPr>
        <w:pStyle w:val="Heading2"/>
      </w:pPr>
      <w:r>
        <w:t>Erwägungen</w:t>
      </w:r>
    </w:p>
    <w:p>
      <w:r>
        <w:rPr>
          <w:b/>
        </w:rPr>
        <w:t>E. 12</w:t>
      </w:r>
    </w:p>
    <w:p>
      <w:r>
        <w:t>septembre 1985 - LPA - E 5 10). 2)</w:t>
      </w:r>
    </w:p>
    <w:p>
      <w:r>
        <w:t>À titre préalable, il convient de définir le droit applicable au présent litige.</w:t>
      </w:r>
    </w:p>
    <w:p>
      <w:r>
        <w:t>a. L’art. 23 du règlement de l’enseignement primaire du 7 juillet 1993, entré en vigueur le 15 juillet 1993 (REP - C 1 10.21) relatif à l’admission dans l’enseignement primaire public genevois des élèves domiciliés hors canton a en effet été modifié le 7 février 2018, avec entrée en vigueur le 14 février 2018.</w:t>
      </w:r>
    </w:p>
    <w:p>
      <w:r>
        <w:t>- 5/9 - A/875/2018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l'article 23A. » (art. 75 REP).</w:t>
      </w:r>
    </w:p>
    <w:p>
      <w:r>
        <w:t>En l’espèce, les demandes d’admission pour l’année scolaire ont été adressées à l’autorité compétente le 20 décembre 2017. Elles tombaient alors sous le coup de l’art. 23 aREP. Compte tenu de la teneur identique de ce dernier article</w:t>
      </w:r>
    </w:p>
    <w:p>
      <w:r>
        <w:t>- 6/9 - A/875/2018 à celle de de l’art. 23A REP et du texte de la disposition transitoire, le cas peut être tranché dans le cadre du droit actuel. 3)</w:t>
      </w:r>
    </w:p>
    <w:p>
      <w:r>
        <w:t>Il n’est pas contesté que les demandes d’admission en cause ont été présentées dans le délai fixé par le DIP, publié sur son site internet, échéant le 31 janvier 2018. 4)</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 tati ue le principe de la bonne oi e prim au art et al st e i e ue l’administration et les administr s se comportent r cipro uement de mani re lo ale n particulier l’administration doit s’abstenir de toute attitude propre tromper l’administr et elle ne saurait tirer aucun avanta e des cons uences d’une incorrection ou insu isance de sa part (ATF 138 I 49 consid. 8.3 ; 129 I 161 consid. 4 ; 129 II 361 consid. 7.1 ; arrêt</w:t>
      </w:r>
    </w:p>
    <w:p>
      <w:r>
        <w:t>- 7/9 - A/875/2018 du Tribunal fédéral 1C_18/2015 du 22 mai 2015 consid. 3). Il protège le citoyen dans la con iance l itime u’il met dans les assurances reçues des autorités lorsqu'il a ré l sa conduite d apr s des d cisions des d clarations ou un comportement d termin de l administration consid 1 consid a protection de la bonne oi ne s’appli ue pas si l’int ress connaissait l’ine actitude de l’indication ou aurait pu la conna 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w:t>
      </w:r>
    </w:p>
    <w:p>
      <w:r>
        <w:t>- 8/9 - A/875/2018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celles des intéressés. 5)</w:t>
      </w:r>
    </w:p>
    <w:p>
      <w:r>
        <w:t>Au vu de ce qui précède, le recours sera admis et les décisions querellées seront annulées. Le dossier sera retourné au DIP pour nouvelles décisions conformes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6)</w:t>
      </w:r>
    </w:p>
    <w:p>
      <w:r>
        <w:t>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7)</w:t>
      </w:r>
    </w:p>
    <w:p>
      <w:r>
        <w:t>Aucun émolument ne sera perçu malgré l’issue du litige (art. 87 al. 1 LPA). Aucune indemnité de procédure ne sera allouée, les recourants agissant en personne et n’ayant pas exposé avoir encouru de frais pour la défense de leurs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