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ATA/522/2013 vom 27. August 2013</w:t>
      </w:r>
    </w:p>
    <w:p>
      <w:r>
        <w:t>GE Cour de justice, 2013-08-27, FR</w:t>
      </w:r>
    </w:p>
    <w:p>
      <w:r>
        <w:rPr>
          <w:b/>
        </w:rPr>
        <w:t xml:space="preserve">Quelle: </w:t>
      </w:r>
      <w:r>
        <w:t>https://mcp.opencaselaw.ch/entscheid/ge_gerichte_ATA_522_2013</w:t>
      </w:r>
    </w:p>
    <w:p>
      <w:r>
        <w:t>FR: GE_GERICHTE ATA/522/2013 du 27 août 2013</w:t>
      </w:r>
    </w:p>
    <w:p>
      <w:r>
        <w:t>IT: GE_GERICHTE ATA/522/2013 del 27 agosto 2013</w:t>
      </w:r>
    </w:p>
    <w:p>
      <w:pPr>
        <w:pStyle w:val="Heading2"/>
      </w:pPr>
      <w:r>
        <w:t>Erwägungen</w:t>
      </w:r>
    </w:p>
    <w:p>
      <w:r>
        <w:rPr>
          <w:b/>
        </w:rPr>
        <w:t>E. 1</w:t>
      </w:r>
    </w:p>
    <w:p>
      <w:r>
        <w:t>La chambre de céans examine d'office la recevabilité des recours et demandes qui lui sont adressés (ATA/254/2013 du 23 avril 2013 consid. 1 et les arrêts cités).</w:t>
      </w:r>
    </w:p>
    <w:p>
      <w:r>
        <w:rPr>
          <w:b/>
        </w:rPr>
        <w:t>E. 2</w:t>
      </w:r>
    </w:p>
    <w:p>
      <w:r>
        <w:t>Selon l’art. 80 de la loi sur la procédure administrative du 12 septembre 1985 (LPA - E 5 10), il ne peut y avoir révision que dans une affaire réglée par une décision définitive.</w:t>
      </w:r>
    </w:p>
    <w:p>
      <w:r>
        <w:t>L'exigence du caractère définitif se réfère au principe de l'autorité formelle de la chose jugée. Il y a autorité formelle de la chose jugée notamment lorsque l'autorité qui a statué est celle de dernière instance, et qu'il n'existe donc plus de recours ordinaire possible (R. RHINOW et al., Öffentliches Prozessrecht, 2e éd., Bâle 2010, n. 951 ; U. HÄFELIN/G.MÜLLER/F. UHLMANN, Allgemeines Verwaltungsrecht, 6e éd., Zurich 2010, n. 991).</w:t>
      </w:r>
    </w:p>
    <w:p>
      <w:r>
        <w:t>Dans la mesure où la LPA règle la procédure administrative exclusivement au niveau cantonal, le caractère définitif des décisions, et donc le caractère ordinaire des éventuels recours possibles contre celles-ci, doit se définir selon le droit cantonal ; la jurisprudence fédérale se réfère du reste, à propos de l'art. 86 LTF, à la notion de recours ordinaire selon le droit cantonal (Arrêts du Tribunal fédéral 2C_270/2011 du 20 avril 2011 consid. 2 ; 2C_557/2009 du 26 avril 2010 consid. 3).</w:t>
      </w:r>
    </w:p>
    <w:p>
      <w:r>
        <w:t>La chambre administrative est l’autorité supérieure ordinaire de recours en matière administrative (art. 132 al. 1 de la loi sur l'organisation judiciaire du 26 septembre 2010 - LOJ - E 2 05) ; ses décisions ne sont susceptibles d'aucun recours sur le plan cantonal et sont donc définitives au sens de l'art. 80 LPA.</w:t>
      </w:r>
    </w:p>
    <w:p>
      <w:r>
        <w:t>- 6/8 - A/3508/2012</w:t>
      </w:r>
    </w:p>
    <w:p>
      <w:r>
        <w:t>La demande en révision porte donc bien sur un arrêt définitif au sens de cette dernière disposition.</w:t>
      </w:r>
    </w:p>
    <w:p>
      <w:r>
        <w:rPr>
          <w:b/>
        </w:rPr>
        <w:t>E. 3</w:t>
      </w:r>
    </w:p>
    <w:p>
      <w:r>
        <w:t>La loi fédérale sur le Tribunal fédéral du 17 juin 2005 (LTF - RS 173.110) ne prévoit rien quant à l'effet dévolutif des recours. Il est généralement admis que le recours en matière de droit public possède un tel effet (Y. DONZALLAZ, Loi sur le Tribunal fédéral - Commentaire, 2008, n. 2046). Cela signifie que les autorités cantonales de dernière instance ne peuvent normalement pas réformer leurs décisions si un recours est pendant par devant le Tribunal fédéral.</w:t>
      </w:r>
    </w:p>
    <w:p>
      <w:r>
        <w:t>Une exception résulte toutefois de l'art. 125 LTF, selon lequel la révision d'un arrêt du Tribunal fédéral confirmant la décision de l'autorité précédente ne peut être requise pour un motif qui a été découvert avant le prononcé de l'arrêt et qui aurait pu être invoqué dans une procédure de révision devant l'autorité précédente. Il en découle a contrario que le droit cantonal ne saurait exclure la procédure de révision au motif qu'un recours au Tribunal fédéral est pendant (P. FERRARI, in B. CORBOZ et al., Commentaire de LTF, Berne 2009 n° 116 ad art. 82 LTF). Il ne peut en aller différemment, sauf à verser dans un formalisme excessif, si le justiciable renonce, à ses risques et périls, à recourir au Tribunal fédéral.</w:t>
      </w:r>
    </w:p>
    <w:p>
      <w:r>
        <w:t>Il n'y ainsi pas motif à écarter la demande de révision du fait que son auteur a volontairement renoncé à saisir le Tribunal fédéral.</w:t>
      </w:r>
    </w:p>
    <w:p>
      <w:r>
        <w:rPr>
          <w:b/>
        </w:rPr>
        <w:t>E. 4</w:t>
      </w:r>
    </w:p>
    <w:p>
      <w:r>
        <w:t>La demande de révision doit être adressée par écrit à la juridiction qui a rendu la décision dans les trois mois dès la découverte du motif la justifiant (art. 81 al. 1 LPA), ce qui est le cas en l'espèce.</w:t>
      </w:r>
    </w:p>
    <w:p>
      <w:r>
        <w:rPr>
          <w:b/>
        </w:rPr>
        <w:t>E. 5</w:t>
      </w:r>
    </w:p>
    <w:p>
      <w:r>
        <w:t>Il y a lieu à révision lorsque, dans une affaire réglée par une décision définitive, il apparaît notamment que des faits ou des moyens de preuve nouveaux et importants existent, que le recourant ne pouvait connaître ou invoquer dans la procédure précédente (art. 80 let. b LPA).</w:t>
      </w:r>
    </w:p>
    <w:p>
      <w:r>
        <w:t>Sont « nouveaux », au sens de cette disposition, les faits qui, survenus à un moment où ils pouvaient encore être allégués dans la procédure principale, n’étaient pas connus du requérant malgré toute sa diligence (ATF 134 III 669 consid. 2.2 p. 671; 134 IV 48 consid. 1.2 p. 50 ; ATA/845/2012 du 18 décembre 2012; ATA/594/2012 du 4 septembre 2012; ATA/224/2011 du 5 avril 2011 ; ATA/488/2009 du 29 septembre 2009). Ces faits nouveaux doivent en outre être importants, c’est à dire de nature à modifier l’état de fait qui est à la base de l’arrêt entrepris et à conduire à un jugement différent en fonction d’une appréciation juridique correcte (ATF 134 III 669 consid. 2.2 p. 671; 134 IV 48 consid. 1.2 p. 50 ; 118 II 199 consid. 5 p. 205 ; ATFA U 216/00 du 31 mai 2001 consid. 3). Les preuves, quant à elles, doivent servir à prouver soit des faits nouveaux importants qui motivent la révision, soit des faits qui étaient certes connus lors de</w:t>
      </w:r>
    </w:p>
    <w:p>
      <w:r>
        <w:t>- 7/8 - A/3508/2012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p. 50 ; ATFA U 5/95 du 19 juin 1996 consid. 2b ; ATA/845/2012 du 18 décembre 2012; ATA/594/2012 du 4 septembre 2012; ATA/282/2002 du 28 mai 2002 ; ATA/141/2002 du 19 mars 2002).</w:t>
      </w:r>
    </w:p>
    <w:p>
      <w:r>
        <w:t>Le demandeur prétend en premier lieu avoir découvert récemment l'existence de l'arrêté du Conseil d'Etat du janvier 2007 et de l'arrêté du 30 octobre 2007 annulant le précédent, tous deux mentionnés dans l'ATA/325/2009 du 30 juin 2009. Or, le recourant est conseillé depuis le dépôt de sa demande de remboursement auprès du SCOM, le 14 décembre 2011, par un avocat genevois. Ce dernier ne peut ignorer la jurisprudence de la chambre de céans et de son prédécesseur, cela d'autant moins qu'elle est systématiquement mise en ligne dès son adoption et, par conséquent, aisément accessible. En faisant preuve de diligence, il aurait pu invoquer ces éléments lors de l'instruction de la cause dans laquelle l'ATA/730/2012 a été rendu.</w:t>
      </w:r>
    </w:p>
    <w:p>
      <w:r>
        <w:t>Il a produit également un procès-verbal d'une séance de la commission consultative du 8 septembre 2009, sans fournir d'explications quant à la date à laquelle il a eu connaissance de son existence et/ou de son contenu, ni démontrer qu'il n'était pas en mesure de s'en prévaloir dans la procédure précédente en faisant preuve de diligence. On ne peut donc retenir qu'il s'agit d'un fait nouveau.</w:t>
      </w:r>
    </w:p>
    <w:p>
      <w:r>
        <w:t>Enfin, il a transmis un extrait – et non le document complet – d'un procès- verbal d'une séance de la commission consultative du 21 juin 2006 dont il a admis en cours d'instruction qu'il ne concernait pas la taxe unique.</w:t>
      </w:r>
    </w:p>
    <w:p>
      <w:r>
        <w:t>Le demandeur ne fait ainsi valoir aucun fait nouveau au sens de l'art. 80 let. b LPA).</w:t>
      </w:r>
    </w:p>
    <w:p>
      <w:r>
        <w:rPr>
          <w:b/>
        </w:rPr>
        <w:t>E. 6</w:t>
      </w:r>
    </w:p>
    <w:p>
      <w:r>
        <w:t>Au vu de ce qui précède, la demande de révision sera déclarée irrecevable.</w:t>
      </w:r>
    </w:p>
    <w:p>
      <w:r>
        <w:t>Vu l'issue du litige, un émolument de CHF 500.- sera mis à la charge du demandeur et aucune indemnité de procédure ne lui sera allouée (art. 87 LPA).</w:t>
      </w:r>
    </w:p>
    <w:p>
      <w:r>
        <w:t>* * * * *</w:t>
      </w:r>
    </w:p>
    <w:p>
      <w:r>
        <w:t>- 8/8 - A/3508/2012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