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ATA/521/2021 vom 18. Mai 2021</w:t>
      </w:r>
    </w:p>
    <w:p>
      <w:r>
        <w:t>GE Cour de justice, 2021-05-18, FR</w:t>
      </w:r>
    </w:p>
    <w:p>
      <w:r>
        <w:rPr>
          <w:b/>
        </w:rPr>
        <w:t xml:space="preserve">Quelle: </w:t>
      </w:r>
      <w:r>
        <w:t>https://mcp.opencaselaw.ch/entscheid/ge_gerichte_ATA_521_2021</w:t>
      </w:r>
    </w:p>
    <w:p>
      <w:r>
        <w:t>FR: GE_GERICHTE ATA/521/2021 du 18 mai 2021</w:t>
      </w:r>
    </w:p>
    <w:p>
      <w:r>
        <w:t>IT: GE_GERICHTE ATA/521/2021 del 18 maggio 2021</w:t>
      </w:r>
    </w:p>
    <w:p>
      <w:pPr>
        <w:pStyle w:val="Heading2"/>
      </w:pPr>
      <w:r>
        <w:t>Erwägungen</w:t>
      </w:r>
    </w:p>
    <w:p>
      <w:r>
        <w:rPr>
          <w:b/>
        </w:rPr>
        <w:t>E. 12</w:t>
      </w:r>
    </w:p>
    <w:p>
      <w:r>
        <w:t>septembre 1985 - LPA - E 5 10). 2)</w:t>
      </w:r>
    </w:p>
    <w:p>
      <w:r>
        <w:t>Selon l’art. 65 LPA l’acte de recours doit contenir sous peine d’irrecevabilité la désignation de la décision attaquée et les conclusions du recourant. Vu la jurisprudence de la chambre de céans peu formaliste en la matière, il convient de ne pas se montrer trop strict sur la manière dont sont formulées les conclusions du recourant, de sorte que si ces dernières ne ressortent pas expressément de l’acte de recours, ceci n’est pas un motif d’irrecevabilité pourvu que le tribunal et la partie adverse puissent comprendre avec certitude les</w:t>
      </w:r>
    </w:p>
    <w:p>
      <w:r>
        <w:t>- 13/23 - A/781/2020 fins du recourant (ATA/879/2016 du 18 octobre 2016). En l’espèce, on comprend aisément que la recourante souhaite voir annuler le jugement du TAPI confirmant la décision de l’OCPM du 29 janvier 2020 lui refusant, ainsi qu’à son fils, un titre de séjour et leur impartissant un délai au 23 février 2020 pour quitter la Suisse. Le recours est donc recevable également sous cet angle. 3) a. Tout citoyen de l'Union européenne a le droit de circuler et de séjourner librement sur le territoire des États membres, sous réserve des limitations et conditions prévues par le traité et par les dispositions prises pour son application (art. 18 du Traité sur l’Union européenne [2002]. Version consolidée [ci-après : CE ou Traité 2002/C 325/01]. Journal officiel des Communautés européennes [ci-après : JO] du 24 décembre 2002, C 325, p.1). Les États membres accordent le droit de séjour aux ressortissants des États membres qui ne bénéficient pas de ce droit en vertu d'autres dispositions du droit communautaire, ainsi qu'aux membres de leur famille tels qu'ils sont définis au paragraphe 2, à condition qu'ils disposent, pour eux-mêmes et pour les membres de leur famille, d'une assurance-maladie couvrant l'ensemble des risques dans l'État membre d'accueil et de ressources suffisantes pour éviter qu'ils ne deviennent, pendant leur séjour, une charge pour l'assistance sociale de l'État membre d'accueil (art. 1 ch. 1 § 1 de la directive du Conseil du 28 juin 1990 relative au droit de séjour [ci-après : directive 90/364/CEE], JO du 13 juillet 1990, L 180, p. 26). Le paragraphe 2 de cette disposition prévoit qu’ont le droit de s'installer dans un autre État membre avec le titulaire du droit de séjour, quelle que soit leur nationalité, son conjoint et leurs descendants à charge (let. a) et les ascendants du titulaire du droit de séjour et de son conjoint qui sont à sa charge (let. b).</w:t>
      </w:r>
    </w:p>
    <w:p>
      <w:r>
        <w:t>L'art. 18 CE et la directive 90/364/CEE confèrent au ressortissant mineur en bas âge d'un État membre qui est couvert par une assurance-maladie appropriée et qui est à la charge d'un parent, lui-même ressortissant d'un État tiers, dont les ressources suffisent pour que le premier ne devienne pas une charge pour les finances publiques de l'État membre d'accueil, un droit de séjour à durée indéterminée sur le territoire de ce dernier État (CJUE, arrêt Zhu et Chen, C-200/02 du 19 octobre 2004, points 41 et 46). Le refus de permettre au parent, ressortissant d'un État membre ou d'un État tiers, qui a effectivement la garde d'un enfant auquel l'art. 18 CE et la directive 90/364/CEE reconnaissent un droit de séjour, de séjourner avec cet enfant dans l'État membre d'accueil priverait de tout effet utile le droit de séjour de ce dernier. En effet, il est clair que la jouissance du droit de séjour par un enfant en bas âge implique nécessairement que cet enfant ait le droit d'être accompagné par la personne assurant effectivement sa garde et, dès lors, que cette personne soit en mesure de résider avec lui dans l'État membre d'accueil pendant ce séjour. Lorsque l'art. 18 CE et la directive 90/364/CEE confèrent un droit de séjour à durée indéterminée dans l'État membre d'accueil au ressortissant mineur en bas âge d'un autre État membre, ces mêmes dispositions</w:t>
      </w:r>
    </w:p>
    <w:p>
      <w:r>
        <w:t>- 14/23 - A/781/2020 permettent au parent qui a effectivement la garde de ce ressortissant de séjourner avec celui-ci dans l'État membre d'accueil (arrêt Zhu et Chen précité, point 45).</w:t>
      </w:r>
    </w:p>
    <w:p>
      <w:r>
        <w:t>b.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par. 1 phr. 1 annexe I ALCP). Sont considérés comme membres de la famille, quelle que soit leur nationalité le conjoint et leurs descendants de moins de vingt-un ans ou à charge (art. 3 par. 2 let. a annexe I ALCP) ; ses ascendants et ceux de son conjoint qui sont à sa charge (art. 3 par. 2 let. b annexe I ALCP). Les droits attribués aux membres de la famille sont des droits dérivés, dont le sort est généralement lié au destin du droit originaire duquel ils sont issus. Les enfants peuvent bénéficier du regroupement familial sans restrictions jusqu’à leur 21ème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w:t>
      </w:r>
    </w:p>
    <w:p>
      <w:r>
        <w:t>c. 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par. 1 let. a annexe I ALCP) et d'une assurance-maladie couvrant l'ensemble des risques (let. b). Le paragraphe 2 de cette disposition précise que les moyens financiers nécessaires sont réputés suffisants s'ils dépassent le montant en-dessous duquel les nationaux, eu égard à leur situation personnelle, peuvent prétendre à des prestations d'assistance.</w:t>
      </w:r>
    </w:p>
    <w:p>
      <w:r>
        <w:t>d. Examinant la question de la libre circulation de parents d’enfants mineurs ressortissants UE/AELE, provenant notamment d’États tiers, le Tribunal fédéral s'est rallié à la jurisprudence Zhu et Chen précitée (ATF 144 II 113 consid. 4.1 ;</w:t>
      </w:r>
    </w:p>
    <w:p>
      <w:r>
        <w:t>- 15/23 - A/781/2020 142 II 35 consid. 5.2 ; arrêts du Tribunal fédéral 2C_375/2014 du 4 février 2015 consid. 3.3 ; 2C_606/2013 du 4 avril 2014 consid. 3.2 et les références citées). Dans le but d'assurer une situation juridique parallèle entre les États membres de la Communauté européenne, d'une part, et entre ceux-ci et la Suisse, d'autre part, le TF s'inspire des arrêts rendus par la CJUE, pour autant que des motifs sérieux ne s'y opposent pas (ATF 136 II 5 consid. 3.4 ; arrêt du Tribunal fédéral 2C_574/10 du 15 novembre 2010 consid. 2.2.2).</w:t>
      </w:r>
    </w:p>
    <w:p>
      <w:r>
        <w:t>Un droit de séjour autonome peut être reconnu à un enfant mineur en tant que ressortissant UE/AELE sans activité lucrative du fait que le parent, ressortissant d’un État tiers qui en a la garde, apporte, de par l’exercice d’une activité lucrative, les moyens financiers nécessaires pour ne pas devoir dépendre de l’aide sociale (art. 6 ALCP et 24 annexe I ALCP ; ATF 136 II 65 consid. 3.4 ; Secrétariat d’État aux migrations [SEM], Directives et commentaires concernant l’introduction progressive de la libre circulation des personnes, avril 2020 [ci-après : directives OLCP-04/2020], ch. 9.5.2.2). Par ce biais, le parent ressortissant d’un État tiers peut se prévaloir – par ricochet – d’un droit de séjour en Suisse (droit dérivé) du simple fait que la garde sur l’enfant UE/AELE lui a été accordée et qu’il prouve disposer des moyens financiers suffisants tels que prévus à l’art. 24 par. 1 annexe I ALCP (ATF 135 II 265 consid. 3.3 ; Cesla AMARELLE/Nathalie CHRISTEN/Minh Son NGUYEN, Migrations et regroupement familial, 2012, p. 89 et 90). Une telle autorisation est soumise à l’approbation du SEM (art. 6 let. g de de l'ordonnance du DFJP relative aux autorisations soumises à la procédure d'approbation et aux décisions préalables dans le domaine du droit des étrangers du 13 août 2015 [RS 142.201.1]).</w:t>
      </w:r>
    </w:p>
    <w:p>
      <w:r>
        <w:t>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de l’ordonnance sur l'introduction progressive de la libre circulation des personnes entre, d'une part, la Confédération suisse et, d'autre part, l'Union européenne et ses États membres, ainsi qu'entre les États membres de l'Association européenne de libre-échange du 22 mai 2002 - Ordonnance sur l'introduction de la libre circulation des personnes - OLCP - RS 142.203). La provenance des ressources financières n'est pas pertinente (ATF 142 II 35 consid. 5.1 ; 135 II 265 consid. 3.3 ; arrêt du Tribunal fédéral 2C_243/2015 du 2 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Les moyens financiers dont doit</w:t>
      </w:r>
    </w:p>
    <w:p>
      <w:r>
        <w:t>- 16/23 - A/781/2020 bénéficier l’enfant ressortissant communautaire au sens de l’art. 24 par.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C-8145/2010 du 18 avril 2011 consid. 4 et 5). En revanche, la condition des ressources suffisantes prévue à l'art. 24 par.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w:t>
      </w:r>
    </w:p>
    <w:p>
      <w:r>
        <w:t>e. En l’espèce la situation financière de la recourante est loin d’être clairement établie. La recourante n’a eu de cesse de produire des documents selon lesquels elle est responsable de projets de courtière en matière d’implantation de projets écologiques en Afrique. Toutefois, aucun de ces documents ne prouve qu’elle aurait, depuis 2010, une source de revenus régulière. Elle a finalement admis en audience avoir de « petits boulots » et accumulé de lourdes dettes, notamment pour les frais de scolarité de son fils. La fondation C______ a été inscrite au registre du commerce de Genève le 9 novembre 2009. Mme A______ y figure comme membre secrétaire avec une signature collective à deux.</w:t>
      </w:r>
    </w:p>
    <w:p>
      <w:r>
        <w:t>Après une première décision positive et non motivée de l’OCPM du 3 juillet 2015, le SEM a retourné le dossier à l’autorité intimée le 5 juillet 2016 au motif qu’il manquait au dossier tous les documents nécessaires pour comprendre le parcours professionnel de Mme A______ depuis le 30 juin 2009, son activité lucrative et sa capacité financière. Elle n’avait pas produit d’accord de remboursement avec l’OP concernant les actes de défaut de biens et ses autres dettes ni les attestations scolaires de son enfant depuis le début de sa scolarité. Par ailleurs, les liens personnels et familiaux de l’intéressée avec la Suisse et le Cameroun n’avaient pas été établis à satisfaction.</w:t>
      </w:r>
    </w:p>
    <w:p>
      <w:r>
        <w:t>Si l’on peut reprocher à l’OCPM une instruction lacunaire ainsi qu’un manque de réactivité à partir de 2016, date à laquelle il a demandé tous ces renseignements à la recourante, force est de constater que tous les documents fournis par l’intéressée, dont la plupart en anglais, notamment un document de la banque mondiale intitulé « Eco2 Cities Guide Ecological Cities as Economic Cities » paraissent être des documents de travail et ne prouvent pas quel est son rôle dans ce projet et encore moins le lien de ce projet avec la Suisse, ni les revenus qu’elle aurait pu en retirer. La recourante a admis en comparution personnelle que ce projet n’était pas encore finalisé après dix ans depuis sa mise à l’étude. Dans un courrier du 11 août 2006, la recourante a par ailleurs admis que la fondation C______ n’avait pas pu réussi à mettre sur pied un projet à but</w:t>
      </w:r>
    </w:p>
    <w:p>
      <w:r>
        <w:t>- 17/23 - A/781/2020 lucratif et qu’elle bénéficiait d’une aide ponctuelle de la part de son associé M. J______.</w:t>
      </w:r>
    </w:p>
    <w:p>
      <w:r>
        <w:t>Le 15 avril 2019, l’OCPM a relancé à nouveau la recourante lui demandant tous les relevés bancaires détaillés des douze derniers mois, une attestation de non poursuite, une attestation de l’hospice général et des attestations d’études pour son enfant pour 2017, 2018 et 2019. Malgré toutes ces relances, l’OCPM n’a pas pu obtenir les documents nécessaires à se forger la conviction que la recourante avait les moyens financiers pour permettre à son fils, de nationalité française, de rester en Suisse et donc se prévaloir de l’art. 24 ALCP, ou de la jurisprudence Zhu et Chen, ce qui l’a amené à prendre sa décision du 29 janvier 2020 de refus d’autorisation de séjour tant pour la recourante que pour son fils.</w:t>
      </w:r>
    </w:p>
    <w:p>
      <w:r>
        <w:t>Se pose donc en définitive, la question de savoir si le TAPI a conclu à juste titre que la recourante ne dispose pas des moyens financiers suffisants au sens de l’art. 24 para 1 let. a Annexe I ALCP pour prétendre demeurer en Suisse. Au vu des pièces produites en première instance, ainsi que des pièces produites avec le recours, force est de constater que la recourante tente depuis dix ans de mettre sur pied un projet de cité écologique en son pays. En l’état, force est de constater que ce projet n’a pas abouti, de sorte qu’elle n’a vécu que de petits « boulots » et grâce au soutien de quelques amis. Les dettes cumulées à ce jour, notamment envers les écoles fréquentées par son fils ne sont pas soldées et sont loin de l’être. Son contrat de consultante avec P______ne lui a pour l’instant rapporté aucun revenu, étant pour le surplus précisé que cette société est basée à Dubaï et que les sociétés contractantes seront basées en Afrique, de sorte que l’on ne saurait suivre la recourante lorsqu’elle prétend qu’elle doit gérer le projet depuis Genève.</w:t>
      </w:r>
    </w:p>
    <w:p>
      <w:r>
        <w:t>C’est ainsi à juste titre que le TAPI a retenu que la recourante ne pouvait pas valablement invoquer l’ALCP faute d’avoir démontré être au bénéficie de moyens financiers suffisants.</w:t>
      </w:r>
    </w:p>
    <w:p>
      <w:r>
        <w:t>Au vu de cette conclusion, la question de la preuve de la scolarité de son enfant à Genève n’a pas à être abordée, sa mère n’ayant pas les moyens financiers nécessaires pour vivre en Suisse avec lui. 4)</w:t>
      </w:r>
    </w:p>
    <w:p>
      <w:r>
        <w:t>Reste à examiner si la recourante pouvait se prévaloir de l’art. 30 al. 1 let. b LEI, soit le cas individuel d’extrême gravité.</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w:t>
      </w:r>
    </w:p>
    <w:p>
      <w:r>
        <w:t>- 18/23 - A/781/2020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actualisées le 1er janvier 2021 - ci-après : Directives LEI - ch. 5.6.12).</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w:t>
      </w:r>
    </w:p>
    <w:p>
      <w:r>
        <w:t>- 19/23 - A/781/2020 2A.543/2001 du 25 avril 2002 consid. 5.2 ; arrêts du Tribunal administratif fédéral [ci-après : TAF] C-5414/2013 du 30 juin 2015 consid. 5.1.4 ; C-6379/2012 et C-6377/2012 du 17 novembre 2014 consid. 4.3).</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w:t>
      </w:r>
    </w:p>
    <w:p>
      <w:r>
        <w:rPr>
          <w:b/>
        </w:rPr>
        <w:t>E. 13</w:t>
      </w:r>
    </w:p>
    <w:p>
      <w:r>
        <w:t>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w:t>
      </w:r>
    </w:p>
    <w:p>
      <w:r>
        <w:t>La question est donc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ATA/90/2021 précité consid. 3e ; ATA/1162/2020 du 17 novembre 2020 consid. 6b).</w:t>
      </w:r>
    </w:p>
    <w:p>
      <w:r>
        <w:t>Le Tribunal fédéral a déjà relevé que la réintégration dans le pays d'origine n'est pas déjà fortement compromise parce que l'étranger n'y retrouvera pas de travail dans le domaine d'activité qui était le sien en Suisse (arrêts du Tribunal fédéral 2C_621/2015 précité consid. 5.2.2 ; 2C_956/2013 du 11 avril 2014 consid. 3.3).</w:t>
      </w:r>
    </w:p>
    <w:p>
      <w:r>
        <w:t>En l’espèce, le seul élément en faveur de la recourante est la durée de sa présence en Suisse, car elle y réside depuis plus que vingt ans. Toutefois, sa situation depuis le 30 juin 2009, suite à sa décision de quitter l’OMS, n’était pas cautionnée par l’autorité, de sorte qu’elle ne peut pas se prévaloir de cette durée à partir de 2009. Elle a par ailleurs mis l’autorité devant le fait accompli. Les autres conditions de l’art. 31 al. 1 OASA ne sont à l’évidence par remplies, notamment celle de l’intégration de la recourante qui ne travaille plus de façon officielle pour un employeur suisse depuis 2009, ni celle de sa situation financière, la recourante ayant laissé cumuler les dettes, notamment celles découlant de l’écolage de son enfant. Elle a au début plaidé, sans le prouver, la nécessité de devoir gérer depuis la Suisse la fondation C______, alors que les terrains sur lesquels la cité écologique est projetée se trouvent au Cameroun. Par ailleurs, les autres pièces produites ne lui sont d’aucune utilité, notamment le contrat de consultante et les</w:t>
      </w:r>
    </w:p>
    <w:p>
      <w:r>
        <w:t>- 20/23 - A/781/2020 autres éventuelles missions qui lui seraient confiées, toutes ses affaires se déroulant en Afrique, de sorte que l’on ne voit pas pourquoi la recourante devrait les gérer depuis Genève. Au contraire, ses relations très étroites avec l’Afrique prouvent que la recourante n’a pas établi une relation si forte avec la Suisse qu’on ne puisse exiger d’elle qu’elle rentre dans son pays, de sorte que le critère de l’intégration sociale particulièrement poussée ou d’une réussite professionnelle remarquable, ne peuvent pas être retenus.</w:t>
      </w:r>
    </w:p>
    <w:p>
      <w:r>
        <w:t>Concernant la situation de son fils, l’K______ a attesté qu’il avait été scolarisé en son sein de 2012 à 2017. Par contre, la recourante n’a pas prouvé où était scolarisé son fils entre 2017 et 2020 et a admis qu’il était déscolarisé depuis janvier 2021. La chambre de céans ne peut que souscrire au raisonnement du TAPI selon lequel, bien que cet enfant n’ait jamais vécu au Cameroun, sa mère ne pouvait ignorer que son droit de séjour en Suisse dépendait de son activité lucrative et que cela pouvait être amené à changer, notamment lorsqu’elle a quitté son emploi à l’OMS en 2009. Dès lors, les éventuelles difficultés culturelles auxquels la recourante et son fils pourraient être confrontés au Cameroun lors de leur retour, ne paraissent pas suffisantes à retenir que leur situation relève du cas de rigueur.</w:t>
      </w:r>
    </w:p>
    <w:p>
      <w:r>
        <w:t>Au vu de l’ensemble de ces éléments, l’OCPM, en refusant à la recourante et à son fils une autorisation de séjour, n’a ni violé la loi, ni abusé ou excédé de son pouvoir d’appréciation, ce qu’a à juste titre confirmé le TAPI.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b. En l'espèce, rien ne permet de retenir que l'exécution du renvoi de la recourante ne serait pas possible, licite ou raisonnement exigible au sens de la disposition précitée.</w:t>
      </w:r>
    </w:p>
    <w:p>
      <w:r>
        <w:t>Dans ces circonstances, le jugement attaqué est conforme au droit.</w:t>
      </w:r>
    </w:p>
    <w:p>
      <w:r>
        <w:t>Mal fondé, le recours sera ainsi rejeté. 6)</w:t>
      </w:r>
    </w:p>
    <w:p>
      <w:r>
        <w:t>Vu l'issue du litige, un émolument de CHF 400.- sera mis à la charge de la recourante, qui succombe (art. 87 al. 1 LPA), et aucune indemnité de procédure ne sera allouée. * * * * *</w:t>
      </w:r>
    </w:p>
    <w:p>
      <w:r>
        <w:t>- 21/23 - A/781/2020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