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ATA/521/2020 vom 26. Mai 2020</w:t>
      </w:r>
    </w:p>
    <w:p>
      <w:r>
        <w:t>GE Cour de justice, 2020-05-26, FR</w:t>
      </w:r>
    </w:p>
    <w:p>
      <w:r>
        <w:rPr>
          <w:b/>
        </w:rPr>
        <w:t xml:space="preserve">Quelle: </w:t>
      </w:r>
      <w:r>
        <w:t>https://mcp.opencaselaw.ch/entscheid/ge_gerichte_ATA_521_2020</w:t>
      </w:r>
    </w:p>
    <w:p>
      <w:r>
        <w:t>FR: GE_GERICHTE ATA/521/2020 du 26 mai 2020</w:t>
      </w:r>
    </w:p>
    <w:p>
      <w:r>
        <w:t>IT: GE_GERICHTE ATA/521/2020 del 26 maggio 2020</w:t>
      </w:r>
    </w:p>
    <w:p>
      <w:pPr>
        <w:pStyle w:val="Heading2"/>
      </w:pPr>
      <w:r>
        <w:t>Erwägungen</w:t>
      </w:r>
    </w:p>
    <w:p>
      <w:r>
        <w:rPr>
          <w:b/>
        </w:rPr>
        <w:t>E. 26</w:t>
      </w:r>
    </w:p>
    <w:p>
      <w:r>
        <w:t>septembre 2010 - LOJ - E 2 05). Elle examine d’office sa compétence, qui est déterminée par la loi et ne peut être créée par accord entre les parties (art. 11 al. 1 et 2 de la loi sur la procédure administrative du 12 septembre 1985 - LPA - E 5 10).</w:t>
      </w:r>
    </w:p>
    <w:p>
      <w:r>
        <w:t>- 7/11 - A/3609/2019</w:t>
      </w:r>
    </w:p>
    <w:p>
      <w:r>
        <w:t>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3)</w:t>
      </w:r>
    </w:p>
    <w:p>
      <w:r>
        <w:t>Il convient préalablement de déterminer si le courrier de la commission du 17 octobre 2019 peut être qualifié de décision sujette à recours.</w:t>
      </w:r>
    </w:p>
    <w:p>
      <w:r>
        <w:t>a. Selon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(ATA/425/2020 du 30 avril 2020 consid. 2 ; ATA/1813/2019 du 17 décembre 2019 consid. 2b et les références citées).</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(ATA/668/2018 du 26 juin 2018 consid. 2b).</w:t>
      </w:r>
    </w:p>
    <w:p>
      <w:r>
        <w:t>b.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MOOR/Étienne POLTIER, Droit administratif, vol. 2, 3ème éd., 2011, p. 256 n. 2.2.4.2) ; est en revanche une décision incidente (art. 4 al. 2 LPA) celle qui est prise pendant le cours de la procédure et ne représente qu'une étape vers la décision finale (ATA/1832/2019 du 17 décembre 2019 consid. 2a et les arrêts cités) ; elle peut avoir pour objet une question formelle ou matérielle, jugée préalablement à la décision finale (ATF 139 V 42 consid. 2.3 ; arrêt du Tribunal fédéral 2C_567/2016 et 2C_568/2016 du 10 août 2017 consid. 1.3).</w:t>
      </w:r>
    </w:p>
    <w:p>
      <w:r>
        <w:t>c. La chambre de céans a déjà eu l’occasion de considérer qu’en tant qu’il refusait de donner suite aux requêtes d’instruction complémentaire et de</w:t>
      </w:r>
    </w:p>
    <w:p>
      <w:r>
        <w:t>- 8/11 - A/3609/2019 désignation d’un nouvel enquêteur, le courrier dont il était fait recours touchait aux droits de la recourante et constituait à ce titre une décision. Peu importait à cet égard qu’il ne soit pas désigné comme tel et ne comporte pas les voies de recours, puisque c’était bien son contenu qui était déterminant pour le qualifier de décision. Le courrier attaqué ne tranchait cependant pas expressément le fond du litige, mais portait sur une question de procédure, soit le fait de mener ou non des mesures d’instruction complémentaires, de sorte qu’il ne s’agissait pas d’une décision finale, mais d’une décision incidente (ATA/1210/2018 du 13 novembre 2018 consid. 3d).</w:t>
      </w:r>
    </w:p>
    <w:p>
      <w:r>
        <w:t>d. À la lumière de ce qui précède, le courrier de la commission du 17 octobre 2019, en tant qu’il refuse la mesure d’instruction sollicitée par la recourante, constitue une décision incidente au sens de l’art. 4 al. 2 LPA. Peut en revanche souffrir de restée indécise, compte tenu de ce qui suit, la question de savoir si le courrier précité, en tant qu’il annonce la clôture de l’instruction de l’affaire portée devant la commission, constitue également une décision incidente ou alors la simple communication d’une information, non susceptible de recours, comme le soutient l’intimée. 4) a. En vertu de l’art. 57 let. c LPA, les décisions incidentes ne sont susceptibles de recours que si elles peuvent causer un préjudice irréparable ou si l’admission du recours peut conduire immédiatement à une décision finale qui permet d’éviter une procédure probatoire longue et coûteuse.</w:t>
      </w:r>
    </w:p>
    <w:p>
      <w:r>
        <w:t>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s.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 131 I 57 consid. 1 ; 129 III 107 consid. 1.2.1).</w:t>
      </w:r>
    </w:p>
    <w:p>
      <w:r>
        <w:t>- 9/11 - A/3609/2019</w:t>
      </w:r>
    </w:p>
    <w:p>
      <w:r>
        <w:t>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(ATA/1018/2018 du 2 octobre 2018 consid. 10d et les références citées).</w:t>
      </w:r>
    </w:p>
    <w:p>
      <w:r>
        <w:t>d. La chambre administrative a précisé à plusieurs reprises que l’art. 57 let. c LPA devait être interprété à la lumière de ces principes (ATA/1832/2019 du 17 décembre 2019 consid. 4 ; ATA/1362/2019 du 10 septembre 2019 consid. 6c).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Le Tribunal fédéral a cependant confirmé que les juges genevois pouvaient, sans arbitraire, interpréter l’art. 57 let. c LPA selon les principes dégagés par la jurisprudence du Tribunal fédéral au sujet de l’art. 93 LTF (arrêts du Tribunal fédéral 1C_317/2018 du 11 octobre 2018 consid. 2.2 ; 1C_278/2017 du 10 octobre 2017 consid. 2.3).</w:t>
      </w:r>
    </w:p>
    <w:p>
      <w:r>
        <w:t>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ATA/184/2020 du 18 février 2020 consid. 3a).</w:t>
      </w:r>
    </w:p>
    <w:p>
      <w:r>
        <w:t>f. Le Tribunal fédéral a notamment précisé que la notion de préjudice irréparable se rapporte à un dommage de nature juridique, qui ne puisse pas être ultérieurement réparé ou entièrement réparé par une décision finale qui lui serait favorable. Les décisions relatives à l'administration des preuves ne sont en principe pas de nature à causer un tel dommage puisqu'il est normalement possible, à l'occasion d'un recours contre la décision finale, d'obtenir que la preuve refusée à tort soit mise en œuvre si elle devait avoir été écartée pour des raisons non pertinentes ou en violation des droits fondamentaux de la recourante (ATF 134 III 188 consid. 2.3 ; arrêt du Tribunal fédéral 8C_22/2017 du 2 février 2017 consid. 8.1). 5)</w:t>
      </w:r>
    </w:p>
    <w:p>
      <w:r>
        <w:t>En l’espèce, la recourante invoque un préjudice irréparable en se référant, implicitement, au principe de célérité. Elle fait valoir que la procédure serait excessivement compliquée et prolongée si la chambre administrative devait elle-même, dans le cadre d’un recours contre la décision finale de la commission, procéder à l’administration des preuves refusées, et plus encore si elle devait décider de renvoyer l’instruction à l’intimée pour ce faire</w:t>
      </w:r>
    </w:p>
    <w:p>
      <w:r>
        <w:t>- 10/11 - A/3609/2019</w:t>
      </w:r>
    </w:p>
    <w:p>
      <w:r>
        <w:t>Il est vrai que la jurisprudence peut admettre que l'on renonce à l'exigence d'un préjudice irréparable si le principe de célérité est violé de manière flagrante ou lorsque la décision incidente retarde la procédure dans de telles proportions qu'elle s'apparente à un déni de justice (arrêt du Tribunal fédéral 1B_569/2011 du 23 décembre 2011 consid. 1.2 et les arrêts cités). En l'occurrence, la recourante ne démontre toutefois pas que le refus de la commission de requérir la production du dossier non caviardé des HUG risquerait de différer une décision finale dans cette affaire. La chambre de céans ne voit en outre pas en quoi la procédure serait retardée si la mesure d’instruction sollicitée par la recourante devait être exécutée par elle plutôt que par la commission.</w:t>
      </w:r>
    </w:p>
    <w:p>
      <w:r>
        <w:t>Contrairement à ce que semble prétendre la recourante ‒ qui allègue qu’elle ne pourrait pas à nouveau présenter ses offres et réquisitions de preuve dans la présente procédure ‒, dans l’hypothèse d’un recours contre la décision au fond rendue par la commission au sujet de la dénonciation dont elle a fait l’objet, elle sera libre de solliciter différents actes d’instruction, sans que cela ne préjuge toutefois de leur admission par la chambre de céans. La recourante pourra également faire valoir ses griefs relatifs à la violation du droit d’être entendue et du droit à une procédure équitable, ou encore au refus de prolongation de délai, dans le cadre d’un éventuel recours contre la décision au fond qui sera rendue par l’intimée.</w:t>
      </w:r>
    </w:p>
    <w:p>
      <w:r>
        <w:t>Pour le surplus, il sera encore relevé que la procédure administrative, contrairement à la procédure pénale, ne prévoit pas d'avis de prochaine clôture de l'instruction.</w:t>
      </w:r>
    </w:p>
    <w:p>
      <w:r>
        <w:t>Par ailleurs, s’agissant de la seconde hypothèse de l’art. 57 let. c LPA, elle n’entre pas non plus en considération, puisqu’une éventuelle admission du recours conduirait à poursuivre la procédure probatoire et ne serait pas susceptible de mettre fin à la procédure administrative en cours ouverte par la commission.</w:t>
      </w:r>
    </w:p>
    <w:p>
      <w:r>
        <w:t>Par conséquent, aucune des deux hypothèses de l’art. 57 let. c LPA n’est réalisée et le recours sera déclaré irrecevable. 6)</w:t>
      </w:r>
    </w:p>
    <w:p>
      <w:r>
        <w:t>Vu l'issue du recours, un émolument de CHF 800.-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