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ATA/521/2014 vom 1. Juli 2014</w:t>
      </w:r>
    </w:p>
    <w:p>
      <w:r>
        <w:t>GE Cour de justice, 2014-07-01, FR</w:t>
      </w:r>
    </w:p>
    <w:p>
      <w:r>
        <w:rPr>
          <w:b/>
        </w:rPr>
        <w:t xml:space="preserve">Quelle: </w:t>
      </w:r>
      <w:r>
        <w:t>https://mcp.opencaselaw.ch/entscheid/ge_gerichte_ATA_521_2014</w:t>
      </w:r>
    </w:p>
    <w:p>
      <w:r>
        <w:t>FR: GE_GERICHTE ATA/521/2014 du 1 juillet 2014</w:t>
      </w:r>
    </w:p>
    <w:p>
      <w:r>
        <w:t>IT: GE_GERICHTE ATA/521/2014 del 1 luglio 2014</w:t>
      </w:r>
    </w:p>
    <w:p>
      <w:pPr>
        <w:pStyle w:val="Heading2"/>
      </w:pPr>
      <w:r>
        <w:t>Erwägungen</w:t>
      </w:r>
    </w:p>
    <w:p>
      <w:r>
        <w:rPr>
          <w:b/>
        </w:rPr>
        <w:t>E. 26</w:t>
      </w:r>
    </w:p>
    <w:p>
      <w:r>
        <w:t>septembre 2010 - LOJ - E 2 05 ; art. 62 al. 1 let. a de la loi sur la procédure administrative du 12 septembre 1985 - LPA - E 5 10). 2)</w:t>
      </w:r>
    </w:p>
    <w:p>
      <w:r>
        <w:t>La question de savoir si le recours contient des conclusions au sens de l’art. 65 al. 1 LPA et est suffisamment motivé (art. 65 al. 2 LPA) peut souffrir de demeurer indécise, pour les motifs qui suivent. 3) a. À teneur de l'art. 60 al. 1 let. b LPA, a qualité pour recourir toute personne qui est touchée directement par une décision et a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 Arrêt du Tribunal fédéral 1A.47/2002 du 16 avril 2002 consid. 3 ; ATA/188/2011 du 22 mars 2011 ; ATA/146/2009 du 24 mars 2009).</w:t>
      </w:r>
    </w:p>
    <w:p>
      <w:r>
        <w:t>Un intérêt digne de protection suppose un intérêt actuel à obtenir l’annulation de la décision attaquée (ATF 135 I 79 consid. 1 ; 128 II 34 consid. 1b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1C.76/2009 du 30 avril 2009 consid. 2 ; ATA/175/2007 du 17 avril 2007 consid. 2a ; ATA/915/2004 du 23 novembre 2004 consid. 2b) ou déclaré irrecevable (ATF 123 II 285 consid. 4 ; Arrêt du Tribunal fédéral 1C.69/2007 du 11 juin 2007 consid. 2.3 ; ATA/192/2009 du 21 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w:t>
      </w:r>
    </w:p>
    <w:p>
      <w:r>
        <w:t>c. En l'espèce, quand bien même le recourant a exécuté la mesure contestée, la situation pourrait se présenter à nouveau, dans la mesure où ce dernier se trouve encore en détention. Dès lors, la chambre administrative renoncera à l'exigence de</w:t>
      </w:r>
    </w:p>
    <w:p>
      <w:r>
        <w:t>- 4/6 - A/4005/2013 l'intérêt actuel pour statuer (ATA/326/2014 du 6 mai 2014 consid. 2 ; ATA/236/2014 du 8 avril 2014 consid. 2 ; ATA/188/2011 précité ; ATA/266/2009 du 26 mai 2009). 4)</w:t>
      </w:r>
    </w:p>
    <w:p>
      <w:r>
        <w:t>Aux termes de l’art. 50 du règlement sur le régime intérieur de la prison et le statut des personnes incarcérées du 30 septembre 1985 (RRIP - F 1 50.04), le procureur général, le directeur général de l'office cantonal de la détention (ci- après : l’OCD) et le directeur de la prison sont compétents pour interdire la détention en commun si elle présente des inconvénients ou des risques, notamment pour ce qui concerne la sauvegarde de la sécurité collective (al. 1) ; la décision de placement en régime de sécurité renforcée peut être ordonnée pour une durée de six mois au maximum ; elle peut être renouvelée aux mêmes conditions (al. 2).</w:t>
      </w:r>
    </w:p>
    <w:p>
      <w:r>
        <w:t>Une telle mesure, qui ne figure pas dans la liste exhaustive des sanctions énoncées aux art. 91 al. 2 du Code pénal suisse du 21 décembre 1937 (CP - RS 311.0) et 47 al. 3 RRIP, ne constitue pas une sanction (Lukas HUBER, Disziplinarmassnahmen im Strafvollzug, Basler Studien zur Rechtswissenschaft, Band 46, 1995, p. 22 et 23), quand bien même elle empiète sur la liberté personnelle (Arrêt du Tribunal fédéral 1P.335/2005 du 25 août 2005 consid. 2.3). Il s'agit d'une décision au sens de l'art. 4 LPA, susceptible de recours auprès de la chambre administrative (ATA/236/2014 précité consid. 11b et ATA/188/2011 précités ; ATA/533/2008 au 28 octobre 2008). 5)</w:t>
      </w:r>
    </w:p>
    <w:p>
      <w:r>
        <w:t>Dans le cas présent, le recourant, dans son recours, n’a pas contesté la réalité des motifs qui ont conduit le directeur de la prison de le placer en régime de sécurité renforcée, ni - à juste titre au regard des reproches qui lui étaient faits - le bien-fondé de cette décision, mais il a formulé une demande d’excuse et fait part de son intention d’améliorer son comportement, ce à quoi la chambre de céans l’encourage très vivement.</w:t>
      </w:r>
    </w:p>
    <w:p>
      <w:r>
        <w:t>La mesure litigieuse est ainsi fondée et doit être confirmée dans son principe. 6) 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 ATF 136 I 17 ; ATF 135 I 176 ; ATF 133 I 110 ; ATF 130 I 65 ; ATA/723/2013 du 29 octobre 2013 ; ATA/721/2013 du 29 octobre 2013 ; Thierry TANQUEREL, Manuel de droit administratif, 2011, n. 550).</w:t>
      </w:r>
    </w:p>
    <w:p>
      <w:r>
        <w:t>- 5/6 - A/4005/2013</w:t>
      </w:r>
    </w:p>
    <w:p>
      <w:r>
        <w:t>L’art. 50 al. 2 RRIP est une disposition potestative (Kannvorschrift), dont l’application n’est censurée par l’autorité de recours qu’en cas d’excès ou abus de pouvoir d’appréciation (ATA/236/2014 précité consid. 16a ; ATA/188/2011 du 22 mars 2011 ; ATA/240/2009 du 12 mai 2009).</w:t>
      </w:r>
    </w:p>
    <w:p>
      <w:r>
        <w:t>b. En l’espèce, le recourant n’a pas contesté la conformité de la durée de six mois avec le principe de la proportionnalité et rien ne permet de retenir que cette durée aurait été excessive, ce d’autant moins que l’intéressé avait déjà été placé en régime de sécurité renforcée pour trois mois pour des actes similaires, dont l’un avait occasionné des blessures aux membres du personnel, et que la décision querellée indiquait que son comportement ferait l’objet d’une évaluation régulière pouvant conduire, le cas échéant, à une proposition de levée de la mesure avant terme. 7)</w:t>
      </w:r>
    </w:p>
    <w:p>
      <w:r>
        <w:t>Au vu de ce qui précède, la décision attaquée étant en tous points fondée, le recours sera rejeté. 8)</w:t>
      </w:r>
    </w:p>
    <w:p>
      <w:r>
        <w:t>Aucun émolument ne sera perçu, la procédure étant gratuite (art. 12 al.1 du règlement sur les frais, émoluments et indemnités en procédure administrative du</w:t>
      </w:r>
    </w:p>
    <w:p>
      <w:r>
        <w:rPr>
          <w:b/>
        </w:rPr>
        <w:t>E. 30</w:t>
      </w:r>
    </w:p>
    <w:p>
      <w:r>
        <w:t>juillet 1986 - RFPA - E 5 10.03), ni aucune indemnité de procédure versée au recourant,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