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ATA/518/2018 vom 29. Mai 2018</w:t>
      </w:r>
    </w:p>
    <w:p>
      <w:r>
        <w:t>GE Cour de justice, 2018-05-29, FR</w:t>
      </w:r>
    </w:p>
    <w:p>
      <w:r>
        <w:rPr>
          <w:b/>
        </w:rPr>
        <w:t xml:space="preserve">Quelle: </w:t>
      </w:r>
      <w:r>
        <w:t>https://mcp.opencaselaw.ch/entscheid/ge_gerichte_ATA_518_2018</w:t>
      </w:r>
    </w:p>
    <w:p>
      <w:r>
        <w:t>FR: GE_GERICHTE ATA/518/2018 du 29 mai 2018</w:t>
      </w:r>
    </w:p>
    <w:p>
      <w:r>
        <w:t>IT: GE_GERICHTE ATA/518/2018 del 29 maggio 2018</w:t>
      </w:r>
    </w:p>
    <w:p>
      <w:pPr>
        <w:pStyle w:val="Heading2"/>
      </w:pPr>
      <w:r>
        <w:t>Erwägungen</w:t>
      </w:r>
    </w:p>
    <w:p>
      <w:r>
        <w:rPr>
          <w:b/>
        </w:rPr>
        <w:t>E. 18</w:t>
      </w:r>
    </w:p>
    <w:p>
      <w:r>
        <w:t>mars 2011 (LChiens - M 3 45). 2) a. La loi sur les chiens du 18 mars 2011 (LChiens - M 3 45) a pour but de régir, en application de la loi fédérale sur la protection des animaux du 16 décembre 2005 (LFPA - RS 455), les conditions d’élevage, d’éducation et de détention des chiens, notamment en vue d’assurer la sécurité, la salubrité et la tranquillité publiques (art. 1 let. b LChiens). Il résulte des travaux préparatoires ayant conduit à son adoption que la LChiens n’est pas une loi sur les chiens, mais sur leurs détenteurs et met en particulier l’accent sur la prévention (MGC 2002-2003/XI A-6561 ; ATA/110/2010 du 16 février 2010).</w:t>
      </w:r>
    </w:p>
    <w:p>
      <w:r>
        <w:t>Le département, soit pour lui le SCAV, est compétent pour l’application de la loi et de son règlement d’exécution (art. 3 al. 1 LChiens ; art. 1 al. 1 du règlement d’application de la LChiens du 27 juillet 2011 (RChiens - M 3 45.01).</w:t>
      </w:r>
    </w:p>
    <w:p>
      <w:r>
        <w:t>b. Les art. 10 ss LChiens régissent les conditions de détention et énoncent diverses obligations à charge du détenteur, à savoir celui qui exerce la maîtrise effective sur le chien et qui a de ce fait le pouvoir de décider comment il est gardé, traité et surveillé (art. 11 al. 1 LChiens). Le détenteur doit éduquer son chien, en particulier en vue d’assurer un comportement sociable optimal de ce dernier, et faire en sorte qu’il ne nuise ni au public, ni aux animaux, ni à l’environnement, le dressage à l’attaque étant en principe interdit (art. 15 LChiens). Tout détenteur doit prendre les précautions nécessaires afin que son chien ne puisse pas lui échapper, blesser, menacer ou poursuivre le public et les animaux, ni porter préjudice à l’environnement, notamment aux cultures, à la faune et à la flore sauvages (art. 18 al. 1 LChiens). Cette dernière disposition pose le principe de la maîtrise nécessaire des chiens pour éviter la survenance d’accidents, qui peuvent mettre en cause non seulement le public, les enfants et les personnes âgées étant particulièrement vulnérables, mais également les animaux domestiques, notamment les autres chiens, qui sont souvent victimes d’agressions de la part de leurs congénères (exposé des motifs relatif au PL 10531, p. 36, consultable sur le site http://ge.ch/grandconseil/memorial/seances/570206/33/2/).</w:t>
      </w:r>
    </w:p>
    <w:p>
      <w:r>
        <w:t>- 8/11 - A/4452/2017</w:t>
      </w:r>
    </w:p>
    <w:p>
      <w:r>
        <w:t>c. Les art. 22 ss LChiens sont consacrés aux chiens dangereux. Entrent notamment dans cette catégorie les chiens ayant un comportement agressif ou dangereux au sens de l’art. 26 LChiens, soit ceux, toutes races confondues, ayant attaqué ou gravement blessé un être humain ou un animal et dont la dangerosité avérée est constatée par le département (al. 1). Le département se prononce sur la dangerosité à l’issue de la procédure d’instruction prévue par la loi (al. 2). Si la dangerosité est avérée, le chien est interdit sur le territoire du canton et séquestré en vue de son euthanasie (al. 3). Sont également considérés comme pouvant présenter un danger potentiel les chiens de grande taille, dès 56 cm au garrot, et d’un poids supérieur à 25 kg (art. 27 LChiens).</w:t>
      </w:r>
    </w:p>
    <w:p>
      <w:r>
        <w:t>d. Il appartient au détenteur d’annoncer au département les cas de blessures graves à un être humain ou à un animal causées par son chien et tout comportement d’agression supérieur à la norme, une telle obligation incombant également aux forces de l’ordre et aux vétérinaires (art. 36 al. 1 et 2 LChiens). Selon l’art. 38 LChiens, dès réception d’une dénonciation ou d’un constat d’infraction, le département procède à l’instruction du dossier conformément aux dispositions de la LPA (al. 1). Il peut séquestrer immédiatement l’animal et procéder à une évaluation générale ou faire appel à des experts afin d’évaluer le degré de dangerosité du chien, et ce aux frais du détenteur (al. 2).</w:t>
      </w:r>
    </w:p>
    <w:p>
      <w:r>
        <w:t>À l’issue de la procédure, le département statue et prend, le cas échéant, les mesures prévues à l’art. 39 LChiens (al. 3). En application de l’alinéa 1 de cette dernière disposition, le département peut prononcer et notifier aux intéressés, en fonction de la gravité des faits : l’obligation de suivre des cours d’éducation canine (let. a) ; celle du port de la muselière (let. b) ; la castration ou la stérilisation du chien (let. c) ; le séquestre provisoire ou définitif du chien (let. d) ; le refoulement du chien dont le détenteur n’est pas domicilié sur le territoire du canton (let. e) ; l’euthanasie du chien (let. f) ; le retrait de l’autorisation de détenir un chien (let. g) ; l’interdiction de pratiquer l’élevage (let. h) ; le retrait de l’autorisation de pratiquer le commerce de chiens ou l’élevage professionnel (let. i) ; le retrait de l’autorisation d’exercer l’activité de promeneur de chiens (let. j) ; la radiation temporaire ou définitive de la liste des éducateurs canins (let. k) ; l’interdiction de détenir un chien (let. l).</w:t>
      </w:r>
    </w:p>
    <w:p>
      <w:r>
        <w:t>Le catalogue des mesures prévues à l’art. 39 al. 1 LChiens concerne tant l’animal que les différents acteurs en interaction avec les chiens. Dans ce cadre, le département dispose d’un large pouvoir d’appréciation dans le choix de la mesure qu’il juge la plus adéquate, tout en étant tenu par les limites du principe de proportionnalité (PL 10531, op.cit., p. 49).</w:t>
      </w:r>
    </w:p>
    <w:p>
      <w:r>
        <w:t>e. Dans l’exercice de ses compétences, l’autorité administrative doit respecter le principe de proportionnalité. Exprimé à l’art. 5 al. 2 de la Constitution fédérale de la Confédération suisse du 18 avril 1999 (Cst. - RS 101), il commande que la mesure étatique soit nécessaire et apte à atteindre le but prévu et raisonnablement</w:t>
      </w:r>
    </w:p>
    <w:p>
      <w:r>
        <w:t>- 9/11 - A/4452/2017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(ATA/309/2016 du 12 avril 2016 ; ATA/569/2015 du 2 juin 2015). 3)</w:t>
      </w:r>
    </w:p>
    <w:p>
      <w:r>
        <w:t>En l’espèce, le danger potentiel présenté par B______ ne peut être contesté, dès lors qu’à plusieurs reprises, elle s’est querellée avec D______.</w:t>
      </w:r>
    </w:p>
    <w:p>
      <w:r>
        <w:t>Les rapports de la fourrière, postérieurs au séquestre, démontrent que les problèmes de comportement de la chienne de la recourante ne proviennent pas réellement du canidé, mais bien de la manière dont il a été éduqué et de la relation, voire de l’absence d’autorité de la recourante sur elle.</w:t>
      </w:r>
    </w:p>
    <w:p>
      <w:r>
        <w:t>À cet égard, le SCAV a largement respecté le principe de la proportionnalité en insistant, sans avoir un succès total, pour que Mme A______ acquière la formation que tout possesseur de chiens devrait avoir. Par trois fois au moins, les</w:t>
      </w:r>
    </w:p>
    <w:p>
      <w:r>
        <w:rPr>
          <w:b/>
        </w:rPr>
        <w:t>E. 22</w:t>
      </w:r>
    </w:p>
    <w:p>
      <w:r>
        <w:t>septembre et 21 décembre 2016 et 12 avril 2017, la recourante avait été avertie des risques d’un séquestre de son chien.</w:t>
      </w:r>
    </w:p>
    <w:p>
      <w:r>
        <w:t>Cette constatation n’est en rien modifiée par l’hypothèse – qui peut sérieusement être prise en compte – selon laquelle D______ aurait aussi un caractère dangereux et que ses propriétaires ne le maîtriseraient pas.</w:t>
      </w:r>
    </w:p>
    <w:p>
      <w:r>
        <w:t>En dernier lieu, l’autorité intimée, en permettant à la recourante de conserver C______, mais en ne l’autorisant pas à adopter d’autres canidés, a effectué une pesée des intérêts respectant le principe de la proportionnalité, qui sera confirmée.</w:t>
      </w:r>
    </w:p>
    <w:p>
      <w:r>
        <w:t>Dans ces circonstances, la décision litigieuse sera intégralement confirmée, dès lors qu’elle respecte le principe de la proportionnalité. 4)</w:t>
      </w:r>
    </w:p>
    <w:p>
      <w:r>
        <w:t>Le prononcé du présent arrêt rend la demande de restitution de l’effet suspensif du 23 mai 2018 sans objet. 5)</w:t>
      </w:r>
    </w:p>
    <w:p>
      <w:r>
        <w:t>Malgré l’issue du litige, aucun émolument ne sera mis à la charge de la recourante, laquelle procède au bénéfice de l’assistance judiciaire.</w:t>
      </w:r>
    </w:p>
    <w:p>
      <w:r>
        <w:t>* * * * *</w:t>
      </w:r>
    </w:p>
    <w:p>
      <w:r>
        <w:t>- 10/11 - A/4452/2017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