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ATA/518/2014 vom 1. Juli 2014</w:t>
      </w:r>
    </w:p>
    <w:p>
      <w:r>
        <w:t>GE Cour de justice, 2014-07-01, FR</w:t>
      </w:r>
    </w:p>
    <w:p>
      <w:r>
        <w:rPr>
          <w:b/>
        </w:rPr>
        <w:t xml:space="preserve">Quelle: </w:t>
      </w:r>
      <w:r>
        <w:t>https://mcp.opencaselaw.ch/entscheid/ge_gerichte_ATA_518_2014</w:t>
      </w:r>
    </w:p>
    <w:p>
      <w:r>
        <w:t>FR: GE_GERICHTE ATA/518/2014 du 1 juillet 2014</w:t>
      </w:r>
    </w:p>
    <w:p>
      <w:r>
        <w:t>IT: GE_GERICHTE ATA/518/2014 del 1 luglio 2014</w:t>
      </w:r>
    </w:p>
    <w:p>
      <w:pPr>
        <w:pStyle w:val="Heading2"/>
      </w:pPr>
      <w:r>
        <w:t>Erwägungen</w:t>
      </w:r>
    </w:p>
    <w:p>
      <w:r>
        <w:rPr>
          <w:b/>
        </w:rPr>
        <w:t>E. 26</w:t>
      </w:r>
    </w:p>
    <w:p>
      <w:r>
        <w:t>septembre 2010 - LOJ - E 2 05 ; art. 62 al. 1 let. a et 64 al. 2 de la loi sur la procédure administrative du 12 septembre 1985 - LPA - E 5 10).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À cette fin, elle lui fixe un délai raisonnable (art. 86</w:t>
      </w:r>
    </w:p>
    <w:p>
      <w:r>
        <w:t>- 4/7 - A/873/2013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(ATA/280/2012 du 8 mai 2012 consid. 2 ; ATA/594/2009 du 17 novembre 2009). 3) a. Les délais fixés par la loi sont des dispositions de droit public qui présentent un caractère impératif. À ce titre, ils ne sont pas susceptibles d’être prolongés, restitués ou suspendus, sauf par le législateur lui-même (art. 21 al. 1 de la loi de procédure fiscale du 4 octobre 2001 - LPFisc - D 3 17 - et 16 al. 1, 1ère phr. LPA ; Benoît BOVAY, Procédure administrative, Berne 2000, p. 378). De fait, celui qui n’agit pas dans le délai prescrit est forclos et la décision en cause acquiert force obligatoire (ATA/304/2014 du 29 avril 2014 consid. 4c ; ATA/271/2014 du 15 avril 2014 consid. 3a ; ATA/234/2014 du 8 avril 2014 consid. 4 et les arrêts cités).</w:t>
      </w:r>
    </w:p>
    <w:p>
      <w:r>
        <w:t>b. S’agissant d’un acte soumis à réception, telle une décision ou une communication de procédure, la notification est réputée faite au moment où l’envoi entre dans la sphère de pouvoir de son destinataire (Pierre MOOR/ Étienne POLTIER, Droit administratif, Vol. II, 3ème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Pour examiner si l’intéressé a été « empêché sans sa faute d’agir dans le délai fixé », la jurisprudence procède par analogie avec les cas susceptibles de constituer des cas de force majeure au sens de l’art. 16 al. 1 LPA.</w:t>
      </w:r>
    </w:p>
    <w:p>
      <w:r>
        <w:t>d. Tombent sous cette dernière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t>- 5/7 - A/873/2013 4)</w:t>
      </w:r>
    </w:p>
    <w:p>
      <w:r>
        <w:t>Les décisions sont notifiées aux parties, le cas échéant à leur domicile élu auprès de leur mandataire, par écrit (art. 46 al. 2 LPA). Une notification irrégulière ne peut entraîner aucun préjudice pour les parties (art. 47 LPA). 5)</w:t>
      </w:r>
    </w:p>
    <w:p>
      <w:r>
        <w:t>La responsabilité du mandant ne saurait être dissociée de celle de son mandataire. En effet, le premier est responsable des actes de celui qui le représente et répond de toute faute de ses auxiliaires (ATA/378/2014 du 20 mai 2014 consid. 5 ; ATA/271/2014 précité ; ATA/739/2013 du 5 novembre 2013 ; ATA/626/2011 du 4 octobre 2011).</w:t>
      </w:r>
    </w:p>
    <w:p>
      <w:r>
        <w:t>Par ailleurs, selon la jurisprudence fédérale, les actes du représentant sont opposables au représenté comme les siens propres ; ce principe vaut également en droit public (Arrêt du Tribunal fédéral 2C_280/2013 du 6 avril 2013). 6)</w:t>
      </w:r>
    </w:p>
    <w:p>
      <w:r>
        <w:t>Le formalisme excessif (au sens de l'art. 29 al. 1 de la Constitution fédérale de la Confédération suisse du 18 avril 1999 -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précité consid. 2.2 ; 2C_450/2008 du 1er juillet 2008 consid. 2.3.4). 7)</w:t>
      </w:r>
    </w:p>
    <w:p>
      <w:r>
        <w:t>Dans le cas d'espèce, les recourants ont payé l'avance de frais le 6 mai 2013, soit après le prononcé du jugement d'irrecevabilité par le TAPI et plus de trois semaines après l'expiration du délai de paiement, ou plus précisément du terme fixé au 14 avril 2013.</w:t>
      </w:r>
    </w:p>
    <w:p>
      <w:r>
        <w:t>Toutefois, ils ne font état d'aucune circonstance qui constituerait un empêchement non fautif de payer le montant réclamé dans le délai imparti. Au contraire, ils invoquent une confusion avec le délai qui leur aurait été fixé au 18 juin 2013 pour présenter leurs observations et produire le dossier fiscal. Or ce n'est à l'évidence pas à eux que le TAPI avait demandé le dossier de la cause et</w:t>
      </w:r>
    </w:p>
    <w:p>
      <w:r>
        <w:t>- 6/7 - A/873/2013 des observations responsives sur le recours, mais aux autorités intimées, à savoir l'AFC-GE et l'AFC-CH.</w:t>
      </w:r>
    </w:p>
    <w:p>
      <w:r>
        <w:t>Par ailleurs, la lettre du TAPI mentionnait clairement le montant à verser, le délai pour ce faire et l'irrecevabilité du recours comme conséquence du non-paiement dans les délais. S'agissant plus précisément du terme de paiement, la lettre faisait expressément référence au bulletin de versement annexé. 8)</w:t>
      </w:r>
    </w:p>
    <w:p>
      <w:r>
        <w:t>Pour le surplus, l'avance de frais demandée par pli simple a été envoyée au mandataire constitué pour les recourants. Ceux-ci ne sauraient toutefois se prévaloir de l'erreur de ce dernier, puisque, selon la jurisprudence déjà citée, ils doivent se laisser opposer les actes de leur représentant.</w:t>
      </w:r>
    </w:p>
    <w:p>
      <w:r>
        <w:t>Par conséquent, la chambre de céans ne peut que confirmer le jugement d'irrecevabilité prononcé par le TAPI. 9)</w:t>
      </w:r>
    </w:p>
    <w:p>
      <w:r>
        <w:t>Au vu toutefois des graves et nombreuses erreurs de procédure commises tout au long du traitement du dossier par le mandataire des recourants, celui-ci doit être averti qu'en cas de réitération de tels comportements à l'avenir, la chambre de céans ne lui reconnaîtra plus le statut de mandataire professionnellement qualifié au sens de l'art. 9 LPA. 10) Mal fondé, le recours sera rejeté. Un émolument de CHF 400.- sera mis à la charge des recourants, qui succombent (art. 87 al. 1 LPA). Aucune indemnité de procédure ne leur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