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ATA/518/2010 vom 3. August 2010</w:t>
      </w:r>
    </w:p>
    <w:p>
      <w:r>
        <w:t>GE Cour de justice, 2010-08-03, FR</w:t>
      </w:r>
    </w:p>
    <w:p>
      <w:r>
        <w:rPr>
          <w:b/>
        </w:rPr>
        <w:t xml:space="preserve">Quelle: </w:t>
      </w:r>
      <w:r>
        <w:t>https://mcp.opencaselaw.ch/entscheid/ge_gerichte_ATA_518_2010</w:t>
      </w:r>
    </w:p>
    <w:p>
      <w:r>
        <w:t>FR: GE_GERICHTE ATA/518/2010 du 3 août 2010</w:t>
      </w:r>
    </w:p>
    <w:p>
      <w:r>
        <w:t>IT: GE_GERICHTE ATA/518/2010 del 3 agosto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Dans son écriture du 23 février 2009, la FAQH a sollicité un transport sur place. Elle a persisté dans cette demande par pli du 11 décembre 2009. Il ne sera pas donné suite à cette requête. Conformément aux principes dégagés par la jurisprudence en relation avec l'art. 29 de la Constitution fédérale de la Confédération suisse du 18 avril 1999 (Cst. - RS 101), le tribunal considère qu’au vu des éléments à sa disposition cette mesure n'est pas nécessaire et que le dossier est en état d’être jugé (Arrêt du Tribunal fédéral 2C_56/2010 du 9 avril 2010 consid. 3.3 et les références citées ; ATA/23/2007 du 23 janvier 2007 consid. 4).</w:t>
      </w:r>
    </w:p>
    <w:p>
      <w:r>
        <w:rPr>
          <w:b/>
        </w:rPr>
        <w:t>E. 3</w:t>
      </w:r>
    </w:p>
    <w:p>
      <w:r>
        <w:t>Selon les recourants, la demande d'autorisation complémentaire, qui était limitée à trois éléments du bâtiment, consistait en de simples adaptations</w:t>
      </w:r>
    </w:p>
    <w:p>
      <w:r>
        <w:t>- 10/16 -</w:t>
      </w:r>
    </w:p>
    <w:p>
      <w:r>
        <w:t>A/161/2009</w:t>
      </w:r>
    </w:p>
    <w:p>
      <w:r>
        <w:t>architecturales qui ne changeaient pas la nature du bâtiment autorisé initialement. Elle ne changeait donc pas l'affectation du bâtiment. Partant, c'était à juste titre que le DCTI avait accordé l'autorisation de construire querellée, indépendamment de l'installation de Procter &amp; Gamble dans les locaux, dès lors que les constructions autorisées étaient conformes à l'affectation de la zone.</w:t>
      </w:r>
    </w:p>
    <w:p>
      <w:r>
        <w:t>Le PLQ adopté selon la LGZD est un plan d'affectation. A ce titre, il a une force obligatoire, tant pour les administrés que pour les autorités. Cela implique que les projets de construction faisant application des normes de la zone de développement doivent se conformer au PLQ, aussi longtemps que les dispositions qu'il contient n'ont pas été révoquées ou modifiées ; ces dispositions s'appliquent donc à toute modification apportée ultérieurement aux bâtiments et autres aménagements construits en application de la zone de développement. Cela est notamment valable en ce qui concerne la destination des locaux, qui doit correspondre aux prescriptions du plan (A. MAUNOIR, Les zones de développement dans le canton de Genève, Fédération des syndicats patronaux, Genève, 1999 p. 33).</w:t>
      </w:r>
    </w:p>
    <w:p>
      <w:r>
        <w:t>Au vu de ce qui précède, s'il est évident que lorsqu'il examine une requête en autorisation de construire, le DCTI doit vérifier si la construction ou les modifications apportées à un bâtiment déjà existant sont conformes à l'affectation de la zone, in casu industrielle et artisanale, il ne peut pas faire abstraction de l'utilisation qui sera faite de ce bâtiment, si celle-ci est connue au moment de l'octroi de l'autorisation. C'est ce qu'a déjà implicitement admis le tribunal de céans dans une jurisprudence ayant trait à l'aménagement d'une halle sise en zone industrielle et artisanale en vue de la diffusion de musique électronique (ATA/23/2007 du 23 janvier 2007).</w:t>
      </w:r>
    </w:p>
    <w:p>
      <w:r>
        <w:t>En conséquence, s'il est vrai que les modifications prévues par la demande d'autorisation de construire complémentaire ne changeaient pas la vocation industrielle et artisanale du bâtiment, le DCTI ne pouvait pas faire abstraction de l'installation de Procter &amp; Gamble dans le bâtiment concerné. En effet, il résulte des pièces du dossier, et en particulier du procès-verbal de la séance de son comité de direction du 30 décembre 2006, que le DCTI connaissait les projets d'installation de la société ainsi que l'utilisation qu'elle entendait faire du bâtiment.</w:t>
      </w:r>
    </w:p>
    <w:p>
      <w:r>
        <w:t>Il y a donc lieu d'examiner si c'est à juste titre que le DCTI a accordé l'autorisation de construire complémentaire.</w:t>
      </w:r>
    </w:p>
    <w:p>
      <w:r>
        <w:rPr>
          <w:b/>
        </w:rPr>
        <w:t>E. 4</w:t>
      </w:r>
    </w:p>
    <w:p>
      <w:r>
        <w:t>a. Conformément à l’art. 22 al.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WALDMANN/P. HÄNNI, Raumplanungsgesetz. Bundesgesetz vom 22. Juni</w:t>
      </w:r>
    </w:p>
    <w:p>
      <w:r>
        <w:t>- 11/16 -</w:t>
      </w:r>
    </w:p>
    <w:p>
      <w:r>
        <w:t>A/161/2009</w:t>
      </w:r>
    </w:p>
    <w:p>
      <w:r>
        <w:t>1979 über die Raumplanung (RPG), Berne 2006, p. 520 ; P. ZEN-RUFFINEN/C. GUY-ECABERT, Aménagement du territoire, construction, expropriation, Berne 2001, p. 207 et 211).</w:t>
      </w:r>
    </w:p>
    <w:p>
      <w:r>
        <w:t>b. L’art. 19 al. 4 de la loi d’application de la loi fédérale sur l’aménagement du territoire du 4 juin 1987 (LaLAT - L 1 30) prévoit que les zones industrielles et artisanales sont destinées aux constructions industrielles, artisanales et ferroviaires. Selon la systématique suivie par le législateur genevois, les zones industrielles font partie des zones à bâtir, qui sont elles-mêmes englobées dans les zones ordinaires au sens des art. 12 et 18 LaLAT. Lorsque les circonstances le justifient et s’il n’en résulte pas d’inconvénients graves pour le voisinage, le département peut, par voie d’autorisation exceptionnelle, déroger aux dispositions relatives à la nature des constructions en zone à bâtir, conformément à l’art. 26 al. 1 LaLAT.</w:t>
      </w:r>
    </w:p>
    <w:p>
      <w:r>
        <w:t>c. La résolution du litige passe, dans un premier temps, par l’examen de la compatibilité avec la zone industrielle de l’établissement litigieux. En cas de réponse négative à cette question, il convient de déterminer si l’octroi d’une dérogation au sens de l’art. 26 al. 1 LaLAT peut entrer en considération.</w:t>
      </w:r>
    </w:p>
    <w:p>
      <w:r>
        <w:rPr>
          <w:b/>
        </w:rPr>
        <w:t>E. 5</w:t>
      </w:r>
    </w:p>
    <w:p>
      <w:r>
        <w:t>Les zones industrielles et artisanales regroupent traditionnellement des activités du secteur primaire et secondaire (P. ZEN-RUFFINEN/C. GUY- ECABERT, op. cit., p. 235 et les références citées). La notion de construction industrielle n'étant pas définie par la loi, il convient de se référer au sens large et commun de ce terme (RDAF 1983, p. 190). Or, une notion large et commune de l'industrie ne se limite pas au travail et à la transformation de la matière mais s'étend à l'ensemble des opérations qui concourent à la production et à la circulation des richesses (RDAF I 1999, p. 369).</w:t>
      </w:r>
    </w:p>
    <w:p>
      <w:r>
        <w:t>Il résulte du but social de Procter &amp; Gamble qu'il s'agit d'une société active dans la fabrication, la distribution et la commercialisation de produits finis et semi-finis. Son activité répond donc à la définition de l'industrie telle que rappelée ci-dessus. Certes, la fabrication des produits n'est pas effectuée dans les locaux en cause mais d'autres activités qui se déroulent dans le bâtiment litigieux sont en relation avec le développement et la distribution des produits qu'elle commercialise et répondent donc ainsi à une vocation industrielle. C'est d'ailleurs cette spécificité qui a été prise en compte par la FTI dans ses courriers des 2 et 28 septembre 2005. Toutefois, une part de l'activité que la société déploie dans ces locaux est de type administratif. Il ne faut cependant pas perdre de vue que ce type d'activité reste en relation avec la vocation industrielle de la société en tant qu'il sert de support à la commercialisation des produits qu'elle distribue. Elle entre ainsi également dans la définition d'activité industrielle rappelée ci-dessus. Le cas d'espèce, très particulier, se distingue ainsi de l'aménagement de secrétariats d'associations professionnelles plus manifestement en relation avec des prestations de service qui n'avait pas été jugé conforme à l'affectation de la zone industrielle</w:t>
      </w:r>
    </w:p>
    <w:p>
      <w:r>
        <w:t>- 12/16 -</w:t>
      </w:r>
    </w:p>
    <w:p>
      <w:r>
        <w:t>A/161/2009</w:t>
      </w:r>
    </w:p>
    <w:p>
      <w:r>
        <w:t>et artisanale (P. ZEN-RUFFINEN/C. GUY-ECABERT, op. cit., p. 236 et les références citées).</w:t>
      </w:r>
    </w:p>
    <w:p>
      <w:r>
        <w:t>Pour le surplus, il sied de rappeler que les préavis recueillis lors de l'examen de la requête en autorisation complémentaire qui est au cœur du litige étaient tous positifs et que les deux autorisations complémentaires déposées par la suite ont été accordées (le 8 décembre 2006 et le 31 août 2007 respectivement) et sont entrées en force.</w:t>
      </w:r>
    </w:p>
    <w:p>
      <w:r>
        <w:t>La décision querellée doit être annulée sur ce point.</w:t>
      </w:r>
    </w:p>
    <w:p>
      <w:r>
        <w:rPr>
          <w:b/>
        </w:rPr>
        <w:t>E. 6</w:t>
      </w:r>
    </w:p>
    <w:p>
      <w:r>
        <w:t>Reste à qualifier le sens et la portée du courrier du Conseil d'Etat du 23 novembre 2005.</w:t>
      </w:r>
    </w:p>
    <w:p>
      <w:r>
        <w:t>a. Le courrier du Conseil d’Etat est postérieur à la requête ayant donné lieu à l’autorisation de construire complémentaire litigieuse. Il est adressé à Procter &amp; Gamble qui souhaite installer une partie de ses activités dans le bâtiment devant être aménagé afin de les accueillir. Il figure au dossier d’autorisation du DCTI.</w:t>
      </w:r>
    </w:p>
    <w:p>
      <w:r>
        <w:t>b. Le Grand Conseil peut délimiter des périmètres de développement, dits zones de développement, dont il fixe le régime d’affectation. A l’intérieur de ces périmètres, la délivrance d’autorisations de construire selon les normes d’une zone de développement est subordonnée, sous réserve des demandes portant sur des objets de peu d’importance ou provisoires, à l’approbation préalable par le Conseil d’Etat d’un plan localisé de quartier (art. 2 al. 1 let. a de la loi générale sur les zones de développement du 29 juin 1957 - LGZD - L 1 35). La procédure d’adoption d’un PLQ prévoit notamment sa soumission à une enquête publique (art. 6 al. 1 LGZD). Le DCTI est compétent pour délivrer les autorisations de construire principales ou complémentaires (art. 2 de la loi sur les constructions et les installations diverses du 14 avril 1988 - LCI - L 5 05 - et art. 10A du règlement d’application de la loi sur les constructions et les installations diverses du 27 février 1978 - RALCI - L 5 05 01) et pour contrôler la conformité des requêtes en autorisation de construire avec les plans localisés de quartier (art. 3 al. 4 LGZD).</w:t>
      </w:r>
    </w:p>
    <w:p>
      <w:r>
        <w:t>Au vu de ce qui précède, il est indéniable que le Conseil d’Etat n’est pas l’autorité compétente pour attester de la conformité de l’implantation d’une société dans un bâtiment et donc des activités qu’elle entend y développer, avec les dispositions légales et réglementaires régissant une zone de construction (ATA/190/2007 du 24 avril 2007).</w:t>
      </w:r>
    </w:p>
    <w:p>
      <w:r>
        <w:t>En conséquence, quelle que soit la qualification juridique que revêt le courrier du Conseil d'Etat du 23 novembre 2005, il est en réalité dépourvu de toute portée juridique dans l'issue du litige. En effet, s'il s'agit d'une simple assurance donnée par une autorité à la demande d'un administré, elle ne déploie</w:t>
      </w:r>
    </w:p>
    <w:p>
      <w:r>
        <w:t>- 13/16 -</w:t>
      </w:r>
    </w:p>
    <w:p>
      <w:r>
        <w:t>A/161/2009</w:t>
      </w:r>
    </w:p>
    <w:p>
      <w:r>
        <w:t>pas d'effet juridique. S'il s'était agi d'une décision, elle aurait été rendue par une autorité incompétente et, partant, serait nulle. La commission ayant tranché cette question et les recourants ayant contesté la qualification de décision retenue par la commission, il y a toutefois lieu d'entrer en matière.</w:t>
      </w:r>
    </w:p>
    <w:p>
      <w:r>
        <w:rPr>
          <w:b/>
        </w:rPr>
        <w:t>E. 7</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1C.408/2008 du 16 juillet 2009 consid. 2 ; ATA/311/2009 du 23 juin 2009 consid. 4 ; ATA/42/2007 du 30 janvier 2007 consid. 4 ; ATA/602/2006 du 14 novembre 2006 consid. 3 ; ATA/836/2005 du 6 décembre 2005 consid. 2 ; P. MOOR, Droit administratif, Vol. 2, Berne 2002, p. 214, n. 2.2.3.3 ; B. BOVAY, Procédure administrative,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 4 ; A. KÖLZ/ I. HÄNER, Verwaltungsverfahren und Verwaltungsrechtspflege des Bundes, 2ème éd., Zürich 1998, p. 181; F. GYGI Bundesverwaltungsrechtspflege, Berne 1983, p. 136).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 GRISEL, Traité de droit administratif, vol II, Neuchâtel 1984, p. 860 ss ; B. BOVAY, op.cit., p. 78).</w:t>
      </w:r>
    </w:p>
    <w:p>
      <w:r>
        <w:t>Selon la commission, le courrier du Conseil d'Etat est une décision parce que malgré le fait que la FTI ait considéré que l'activité de Procter &amp; Gamble n'était pas conforme à l'affectation de la zone industrielle et artisanale, ce document a permis de déroger à l'affectation prévue par le PLQ. Il a donc déployé des effets juridiques.</w:t>
      </w:r>
    </w:p>
    <w:p>
      <w:r>
        <w:t>- 14/16 -</w:t>
      </w:r>
    </w:p>
    <w:p>
      <w:r>
        <w:t>A/161/2009</w:t>
      </w:r>
    </w:p>
    <w:p>
      <w:r>
        <w:t>Il y a lieu de rappeler que le courrier du Conseil d'Etat répond à une interpellation de Procter &amp; Gamble du 21 juillet 2005 en dehors de toute demande en autorisation de construire. Il ressort des courriers de la FTI, et en particulier de celui du 2 septembre 2005 adressé au département, que cette dernière considérait qu'une partie des activités de la société était conforme à l'affectation de la zone et que l'usage du bâtiment serait conforme à l'affectation de la zone si trois conditions étaient remplies. Par courrier du 25 octobre 2005 à la FTI, Procter &amp; Gamble a manifesté sa volonté de se conformer aux conditions posées par la FTI. C'est à la lumière de ces échanges de courriers que le Conseil d'Etat a estimé que l'implantation de Procter &amp; Gamble était compatible avec les dispositions légales régissant la zone industrielle et artisanale.</w:t>
      </w:r>
    </w:p>
    <w:p>
      <w:r>
        <w:t>En conséquence, loin de constituer une dérogation, le courrier du Conseil d'Etat s'est borné à indiquer, qu'au vu des éléments dont il disposait, l'implantation de la société était compatible avec les normes régissant la zone industrielle. Ce faisant cependant, le Conseil d'Etat se bornait à exprimer une opinion, à l'instar des autorités de préavis sollicitées dans le cadre d'une demande en autorisation. Il s'ensuit que le courrier querellé n'a donc pas déployé d'effets juridiques et ne constitue pas une décision.</w:t>
      </w:r>
    </w:p>
    <w:p>
      <w:r>
        <w:t>Enfin, l'activité déployée dans le bâtiment étant compatible avec l'affectation de la zone, ainsi que cela a été exposé ci-dessus, il n'y avait de toute manière pas lieu à l'octroi d'une dérogation.</w:t>
      </w:r>
    </w:p>
    <w:p>
      <w:r>
        <w:t>La décision de la commission sera donc annulée sur ce point également.</w:t>
      </w:r>
    </w:p>
    <w:p>
      <w:r>
        <w:rPr>
          <w:b/>
        </w:rPr>
        <w:t>E. 8</w:t>
      </w:r>
    </w:p>
    <w:p>
      <w:r>
        <w:t>Au vu des éléments précités, il y a lieu de confirmer l'autorisation de construire délivrée par le DCTI, le projet de construction étant conforme aux dispositions légales applicables.</w:t>
      </w:r>
    </w:p>
    <w:p>
      <w:r>
        <w:t>Il résulte de ce qui précède que les recours seront admis et la décision de la commission annulée.</w:t>
      </w:r>
    </w:p>
    <w:p>
      <w:r>
        <w:rPr>
          <w:b/>
        </w:rPr>
        <w:t>E. 9</w:t>
      </w:r>
    </w:p>
    <w:p>
      <w:r>
        <w:t>Vu l'issue du litige, un émolument de procédure, en CHF 2’000.-, sera mis à la charge de la FAQH. Une indemnité de procédure de CHF 2'000.- sera allouée à Implenia, à la charge de la même intimée (art. 87 LPA).</w:t>
      </w:r>
    </w:p>
    <w:p>
      <w:r>
        <w:t>* * * * *</w:t>
      </w:r>
    </w:p>
    <w:p>
      <w:r>
        <w:t>- 15/16 -</w:t>
      </w:r>
    </w:p>
    <w:p>
      <w:r>
        <w:t>A/161/2009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