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ATA/517/2018 vom 29. Mai 2018</w:t>
      </w:r>
    </w:p>
    <w:p>
      <w:r>
        <w:t>GE Cour de justice, 2018-05-29, FR</w:t>
      </w:r>
    </w:p>
    <w:p>
      <w:r>
        <w:rPr>
          <w:b/>
        </w:rPr>
        <w:t xml:space="preserve">Quelle: </w:t>
      </w:r>
      <w:r>
        <w:t>https://mcp.opencaselaw.ch/entscheid/ge_gerichte_ATA_517_2018</w:t>
      </w:r>
    </w:p>
    <w:p>
      <w:r>
        <w:t>FR: GE_GERICHTE ATA/517/2018 du 29 mai 2018</w:t>
      </w:r>
    </w:p>
    <w:p>
      <w:r>
        <w:t>IT: GE_GERICHTE ATA/517/2018 del 29 maggio 2018</w:t>
      </w:r>
    </w:p>
    <w:p>
      <w:pPr>
        <w:pStyle w:val="Heading2"/>
      </w:pPr>
      <w:r>
        <w:t>Regeste</w:t>
      </w:r>
    </w:p>
    <w:p>
      <w:r>
        <w:t>Résumé: Les propriétaires de parcelles sises en zone villa peuvent bénéficier de l'augmentation des droits à bâtir -sous déduction de ceux déjà utilisés- résultant de la hausse des taux prévus à l'art. 59 LCI, en particulier du taux pour une construction à haute performance énergétique prévu par l'al. 4 let. a. In casu les propriétaires peuvent ainsi bénéficier du solde de droits à bâtir résultant de la différence entre le rapport de surfaces de 20 % déjà appliqué en 1998, soit avant la modification législative, et la possibilité offerte par le nouvel art. 59 al. 4 let. a LCI pour les constructions à haute performance énergétique, ce d'autant que la demande des propriétaires va dans le sens de la densification des zones constructibles voulue par le législateur genevois.</w:t>
      </w:r>
    </w:p>
    <w:p>
      <w:pPr>
        <w:pStyle w:val="Heading2"/>
      </w:pPr>
      <w:r>
        <w:t>Erwägungen</w:t>
      </w:r>
    </w:p>
    <w:p>
      <w:r>
        <w:rPr>
          <w:b/>
        </w:rPr>
        <w:t>E. 44</w:t>
      </w:r>
    </w:p>
    <w:p>
      <w:r>
        <w:t>%. Ce dernier changement législatif visait, par une augmentation des IUS, à promouvoir une utilisation plus intensive du sol en zones villas pour répondre à la crise du logement sévissant à Genève (exposé des motifs relatif au projet de loi [ci-après : PL] 10'891 ; ATA/659/2017 du 13 juin 2017 consid. 4b ; ATA/699/2015 du 30 juin 2015 consid. 8b).</w:t>
      </w:r>
    </w:p>
    <w:p>
      <w:r>
        <w:t>L’implantation de l’habitat groupé, introduit à l’art. 59 al. 4 let. a LCI en janvier 2013, devait, selon les travaux préparatoires y relatifs, modifier, à terme, la configuration de la zone villa. Il ne s'agissait plus forcément de la villa au sens</w:t>
      </w:r>
    </w:p>
    <w:p>
      <w:r>
        <w:t>- 9/16 - A/1987/2016 compris autrefois, mais bien d'une nouvelle forme d'habitat groupé, plus contemporaine. Le législateur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2012-2013 II D/9 p. 788 ss).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 (ATA/1274/2017 du 12 septembre 2017 consid. 6d ; ATA/828/2015 du 11 août 2015 consid. 8b). 4) a. Selon la jurisprudence du Tribunal fédéral,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101 Ia 289 consid. 3a ; arrêt du Tribunal fédéral 1C_430/2015 du 15 avril 2016 consid. 5.1). Le transfert d’indice d’utilisation d’une parcelle à l’autre implique l’interdiction d’utiliser ultérieurement, pour le calcul de la surface constructible, la portion de terrain ainsi mise à contribution (arrêt du Tribunal fédéral 1P.577/2000 du 1er décembre 2000 consid. 2b).</w:t>
      </w:r>
    </w:p>
    <w:p>
      <w:r>
        <w:t>Les coefficients et les indices d’occupation et d’utilisation du sol doivent garantir des dégagements suffisants par rapport à l’importance de la construction et de son emprise au sol. Cet objectif serait compromis si une surface ayant déjà été mise à contribution pour calculer la densité d’une construction par rapport à une surface donnée puisse à nouveau être prise en considération pour ce faire à la suite d’un morcellement. Aussi, lorsqu’un bien-fonds a été construit de manière à épuiser les droits à bâtir, une division ultérieure de ce fonds ne saurait avoir pour conséquence de redonner de nouvelles possibilités de construire. L’interdiction qui en résulte d’utiliser, pour le calcul de la surface constructible, tout ou partie de la surface ayant déjà servi à un tel calcul ne constitue pas une restriction inadmissible à la propriété, comme l’a jugé à maintes reprises le Tribunal fédéral (arrêt du Tribunal fédéral 1P.806/2006 du 10 mai 2007 consid. 3.4 ; ATF 108 Ib 116 consid. 2c), faute de quoi on parviendrait à détourner par ce biais la limite d’utilisation imposée par la réglementation cantonale ou communale à</w:t>
      </w:r>
    </w:p>
    <w:p>
      <w:r>
        <w:t>- 10/16 - A/1987/2016 une parcelle déterminée (arrêt du Tribunal fédéral 1P.577/2000 précité consid. 2c). Cette interdiction existe, à l’instar des autres restrictions de droit public à la propriété, indépendamment de son inscription au registre foncier en vertu de l’art. 680 al. 1 du Code civil suisse du 10 décembre 1907 (CC - RS 210). Les cantons peuvent prévoir que de telles restrictions fassent l’objet d’une mention au registre foncier, conformément à l’art. 962 al. 1 CC, pour leur assurer une certaine publicité, mais une telle mention n’est pas exigée et n’a qu’une portée déclaratoire (arrêt du Tribunal fédéral 1P.806/2006 précité consid. 3.4).</w:t>
      </w:r>
    </w:p>
    <w:p>
      <w:r>
        <w:t>Dans le canton de Genève, l’art. 267 RCI dispose que peuvent être mentionnées au RF les restrictions du droit de propriété résultant de l’application de la loi, notamment les mesures administratives et les règlements spéciaux (al. 1), et que la mention est inscrite au RF à titre déclaratif sur la seule réquisition du département accompagnée, s’il y a lieu, de la décision ou des conventions qui la concernent (al. 2).</w:t>
      </w:r>
    </w:p>
    <w:p>
      <w:r>
        <w:t>b. Selon la chambre administrative, la constitution d’une servitude n’est pas indispensable pour empêcher la prise en compte ultérieure, lors d’un calcul de densité, de droits à bâtir cédés ou déjà utilisés, l’essentiel étant qu’une telle cession soit connue du département chargé de la délivrance des autorisations de construire (ATA/699/2015 du 30 juin 2015 consid. 7b ; ATA/98/2012 du 21 février 2012 consid. 6).</w:t>
      </w:r>
    </w:p>
    <w:p>
      <w:r>
        <w:t>c. Dans une affaire de 2006, l’ancien Tribunal administratif, devenu la chambre administrative, a dû examiner la question du calcul des droits à bâtir pour un projet de transformation et d’agrandissement d’une villa jumelée faisant partie d’un ensemble de trois maisons contiguës qui avaient été construites en même temps sur une parcelle, à l’origine unique mais morcelée, à la suite de l’octroi de l’autorisation de construire initiale, en quatre parcelles distinctes. Ces dernières correspondaient chacune à une des trois villas et à un chemin commun à deux de celles-ci. La juridiction cantonale a confirmé la position du département consistant à calculer les droits à bâtir de la parcelle concernée par le nouveau projet de construction en tenant compte des quatre parcelles formant, au moment de la délivrance de l’autorisation initiale, la parcelle d’origine, et ce quand bien même la parcelle concernée par le nouveau projet comportait une surface supérieure à celle qui serait nécessaire pour assurer le respect de l’IUS, contrairement aux parcelles abritant les deux autres villas jumelées. Toute autre solution permettrait, selon l’ancien Tribunal administratif, d’augmenter à l’envi, par morcellements successifs des parcelles, le taux d’utilisation du sol, en violation des prescriptions légales en la matière (ATA/568/2006 du 31 octobre 2006 consid. 5). Cette méthode de calcul consistant à prendre en compte la surface de l’ensemble des parcelles concernées par un projet de construction de plusieurs villas a été confirmée par la chambre administrative (ATA/653/2014 du 19 août 2014</w:t>
      </w:r>
    </w:p>
    <w:p>
      <w:r>
        <w:t>- 11/16 - A/1987/2016 consid. 6 et 7 ; ATA/98/2012 précité consid. 7 ; ATA/453/2011 du 26 juillet 2011 consid. 11).</w:t>
      </w:r>
    </w:p>
    <w:p>
      <w:r>
        <w:t>Dans l’affaire précitée de 2006, comme le taux d’utilisation du sol de 20 % – calculé sur l’ensemble de la surface de la parcelle d’origine – avait été atteint par la construction du projet initial, seule pouvait entrer en compte une augmentation des droits à bâtir fondée sur des taux légaux supérieurs, prévus par l’art. 59 LCI dans sa teneur de l’époque. Toutefois, selon l’ancien Tribunal administratif, toucher aux droits à bâtir d’une parcelle donnée, suite à un morcellement, revenait à modifier la situation de l’ensemble du périmètre initialement considéré et par conséquent les droits liés à chacune des parcelles ayant composé ledit ensemble. Le report du solde des droits à bâtir en faveur des parcelles concernées par le nouveau projet de construction n’était donc envisageable qu’avec l’accord de tous les propriétaires concernés, dans la mesure où ce calcul affectait également leurs droits (ATA/568/2006 précité consid. 6).</w:t>
      </w:r>
    </w:p>
    <w:p>
      <w:r>
        <w:t>Cet arrêt a été confirmé par le Tribunal fédéral. Le nouveau projet de construction ne pouvait être autorisé que moyennant le consentement des propriétaires voisins des deux autres villas à ce que la surface déjà utilisée pour le calcul des droits à bâtir afférents aux villas jumelées réalisées conformément à l’autorisation de construire initiale puisse une nouvelle fois être prise en compte (arrêt du Tribunal fédéral 1P.806/2006 précité consid. 3.6). 5) a. En l’espèce, il n’est pas contesté que le taux – à l’époque maximal – de 20 % a été appliqué, dans le cadre de l’autorisation initiale de construire les vingt villas jumelées (DD 94’794/2), sur l’ensemble de la surface des deux anciennes parcelles nos 313 et 724. Il n’est pas non plus contesté que les surfaces des parcelles nos 1880 et 1881, visées par la demande d’autorisation litigieuse, ont servi au calcul du rapport de surface précité de 20 %.</w:t>
      </w:r>
    </w:p>
    <w:p>
      <w:r>
        <w:t>b. Conformément à la jurisprudence fédérale précitée, la surface des parcelles nos 1880 et 1881 ne devrait plus être utilisée pour un nouveau calcul de surface constructible, étant donné qu’elle a été entièrement prise en compte dans le calcul du rapport de surface de 20 % lié à la construction susmentionnée des vingt villas. Or, aucune des parties ne conteste l’existence d’un supplément de surface constructible découlant de l’augmentation des taux légaux prévus à l’art. 59 LCI, et en particulier à l’art. 59 al. 4 let. a LCI, sous réserve de la réalisation des conditions de cette norme. L’interdiction – découlant de la jurisprudence précitée – d’utiliser une surface ayant déjà servi à un calcul de surface constructible vise à assurer le respect des taux légaux d’utilisation du sol, en particulier en cas de division ultérieure d’un bien-fonds construit au maximum des possibilités légales. Lorsque celles-ci augmentent à la suite d’une modification légale comme c’est le cas en l’espèce, l’interdiction susmentionnée perd, à hauteur du supplément légal autorisé, sa justification. Elle ne saurait donc être appliquée de manière absolue et empêcher l’application des nouvelles dispositions légales.</w:t>
      </w:r>
    </w:p>
    <w:p>
      <w:r>
        <w:t>- 12/16 - A/1987/2016</w:t>
      </w:r>
    </w:p>
    <w:p>
      <w:r>
        <w:t>Par conséquent, la surface des parcelles nos 1880 et 1881 doit pouvoir être, à nouveau, prise en compte dans le cadre du calcul d’un supplément de surface constructible découlant d’une hausse légale des taux d’utilisation du sol et les propriétaires de ces deux parcelles, considérées individuellement, doivent pouvoir bénéficier de ce supplément.</w:t>
      </w:r>
    </w:p>
    <w:p>
      <w:r>
        <w:t>c. Ce nouveau calcul ne peut toutefois omettre de prendre en compte l’utilisation déjà effectuée de la surface constructible selon l’ancien droit, afin d’assurer le respect des taux légaux d’utilisation du sol.</w:t>
      </w:r>
    </w:p>
    <w:p>
      <w:r>
        <w:t>La particularité du présent cas tient au fait qu’il existe, suite à la cession intervenue dans le cadre de l’autorisation initiale de construire DD 94’794/2, des parcelles dont le taux effectif d’utilisation du sol dépasse, dans les faits, le taux précité de 20 % en raison de l’attribution d’une partie des droits à bâtir découlant des parcelles nos 1880, 1881, 1892 et 1893. Ainsi, même si toutes les parcelles ayant bénéficié de ladite cession ont utilisé l’intégralité des droits à bâtir correspondant au taux maximal de 20 % de l’époque portant sur l’ensemble de la surface des deux anciennes parcelles nos 313 et 724, une déduction – juridique – de 20 % de droits à bâtir par parcelle ne correspond pas à la réalité des droits à bâtir effectivement utilisés sur chaque parcelle du périmètre correspondant aux anciennes parcelles nos 313 et 724.</w:t>
      </w:r>
    </w:p>
    <w:p>
      <w:r>
        <w:t>d. On ne saurait ainsi appliquer la même déduction – juridique – des 20 % de droits à bâtir de manière automatique à toutes les parcelles issues du morcellement des anciennes parcelles nos 313 et 724, car cela aboutirait concrètement à un dépassement du taux maximal prévu selon la teneur actuelle de l’art. 59 al. 4 let. a LCI pour les parcelles ayant bénéficié des droits à bâtir cédés par les parcelles nos 1880, 1881, 1892 et 1893 et atteint un rapport de surface supérieur à 20 %. Cela reviendrait à permettre une densification plus importante que celle autorisée par la loi et contreviendrait à celle-ci.</w:t>
      </w:r>
    </w:p>
    <w:p>
      <w:r>
        <w:t>On ne voit néanmoins pas ce qui exclurait l’application des taux prévus par l’art. 59 al. 4 let. a LCI d’emblée au parcelles nos 1880, 1881, 1892 et 1893 considérées individuellement, ladite application n’étant pas subordonnée, selon le texte de la loi, à l’existence préalable d’une construction.</w:t>
      </w:r>
    </w:p>
    <w:p>
      <w:r>
        <w:t>Il convient donc de tenir compte, sur chaque parcelle, des droits à bâtir concrètement utilisés. Cela a notamment pour conséquence que les parcelles nos 1880 et 1881, vierges pour l’instant de toute construction, pourraient être construites à hauteur du taux maximal d’utilisation du sol prévu dans l’actuel art. 59 LCI sous déduction du taux – juridique – de 20 % déjà utilisé par elles, si les circonstances le permettaient.</w:t>
      </w:r>
    </w:p>
    <w:p>
      <w:r>
        <w:t>e. Il y a, dans ce contexte, en particulier lieu de vérifier l’éventuel bien-fondé de la thèse du département, selon laquelle la mise à disposition de la</w:t>
      </w:r>
    </w:p>
    <w:p>
      <w:r>
        <w:t>- 13/16 - A/1987/2016 surface des parcelles nos 1880 et 1881 en faveur des parcelles accueillant les vingt villas autorisées en 1998 aurait également visé à transférer à ces parcelles-ci d’éventuelles nouvelles possibilités de bâtir supérieures au 20 % cédé dans le cadre de l’autorisation délivrée en 1998.</w:t>
      </w:r>
    </w:p>
    <w:p>
      <w:r>
        <w:t>À défaut de preuves tangibles – qui ne ressortent en l’espèce pas du dossier –, cette thèse ne peut pas être suivie, sous peine de priver les propriétaires des parcelles nos 1880 et 1881 de la libre disposition de leur bien et ce en violation de leur garantie de la propriété ancrée à l’art. 26 de la Constitution fédérale de la Confédération suisse du 18 avril 1999 (Cst. - RS 101). L’arrêt du Tribunal fédéral 1C_161/2010 invoqué par le département ne lui est, faute d’éléments de preuve dans le sens de sa thèse, d’aucune aide. À cet égard, la mention au RF de l’épuisement des droits à bâtir liés aux surfaces des parcelles nos 1880, 1881, 1892 et 1893 – issues de la division des parcelles nos 313 et 724 – n’a été requise le 16 novembre 2006 par le département que dans le sens où ces droits avaient servi au calcul du rapport de surfaces de 20 % relatif aux constructions sur les autres parcelles issues de la division des parcelles nos 313 et 724, et non d’une manière générale ni avec exclusion d’éventuelles adaptations futures en cas de modification de la législation. Au surplus, rien ne permet en l’état de retenir que les personnes et autorités impliquées dans le cadre de l’autorisation de construire de 1998 et du morcellement subséquent aient alors envisagé la possibilité, dans le futur, d’une augmentation de la surface de plancher habitable aussi importante que, notamment, le 44 % de la surface du terrain lorsque la construction serait conforme à un standard de haute performance énergétique.</w:t>
      </w:r>
    </w:p>
    <w:p>
      <w:r>
        <w:t>L’une des principales prémisses sur laquelle est fondée ladite thèse du département ainsi que son calcul exemplatif censé démontrer que le taux de 44 % pour les constructions à haute performance énergétique au sens de l’art. 59 al. 4 let. a LCI serait dans l’ensemble dépassé si toutes les parcelles issues de la division des parcelles nos 313 et 724 souhaitaient en bénéficier est que seule serait déterminante la cession de la surface constructible (à savoir les m2 de la parcelle) d’une parcelle en faveur d’une autre parcelle, et non une cession des droits à bâtir (m2 de SBP). Or, d’une part, le transfert de droits à bâtir en tant que tels est autorisé, conformément à la jurisprudence rappelée plus haut, et la SBP sert précisément de base au calcul du rapport des surfaces en vertu de l’art. 59 al. 2 LCI. D’autre part, aucun des éléments du dossier relatifs à la procédure d’autorisation de construire de 1998 et au morcellement subséquent ne laisse en l’état penser qu’il y aurait eu cession de m2 en tant que surface constructible plutôt que de droits à bâtir ; la requête du département adressée le 16 novembre 2006 au RF montre le contraire. Au demeurant, si les m2 des surfaces des parcelles nos 1880, 1881, 1892 et 1893 avaient été cédés aux autres parcelles issues de la division des parcelles nos 313 et 724, cela aurait correspondu de facto, à tout le moins économiquement, à une cession des parcelles en tant que telles.</w:t>
      </w:r>
    </w:p>
    <w:p>
      <w:r>
        <w:t>- 14/16 - A/1987/2016</w:t>
      </w:r>
    </w:p>
    <w:p>
      <w:r>
        <w:t>Il est par ailleurs rappelé que, contrairement au cas tranché par l’ATA/568/2006 précité, confirmé par l’arrêt du Tribunal fédéral 1P.806/2006, la présente situation fait suite à une modification légale, qui plus est importante.</w:t>
      </w:r>
    </w:p>
    <w:p>
      <w:r>
        <w:t>f. En définitive, on ne voit pas ce qui empêche l’intimée, pour les propriétaires des parcelles nos 1880 et 1881, de bénéficier du solde de droits à bâtir résultant de la différence entre le rapport de surfaces de 20 % déjà appliqué en 1998 et la possibilité offerte par le nouvel art. 59 al. 4 let. a LCI pour les constructions à haute performance énergétique, ce d’autant moins que la demande de l’intimée va dans le sens de la densification des zones constructibles voulue par le législateur genevois (ATA/1274/2017 du 12 septembre 2017 consid. 6).</w:t>
      </w:r>
    </w:p>
    <w:p>
      <w:r>
        <w:t>g. Aucun accord s’y opposant, ancien ou récent, entre les propriétaires de ces parcelles et ceux des autres parcelles constituées à la suite du morcellement des anciennes parcelles nos 313 et 724 ne ressort du dossier.</w:t>
      </w:r>
    </w:p>
    <w:p>
      <w:r>
        <w:t>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ATA/166/2018 du 20 février 2018 consid. 5 et les arrêts cités).</w:t>
      </w:r>
    </w:p>
    <w:p>
      <w:r>
        <w:t>h. Le fait que le département ait octroyé, dans le passé, à deux reprises, une autorisation de construire sur les parcelles nos 1880 et 1881 ne saurait lui être opposable, étant donné que ses décisions ont été annulées sur recours et ne sont ainsi jamais entrées en force.</w:t>
      </w:r>
    </w:p>
    <w:p>
      <w:r>
        <w:t>i. Une instruction des autres conditions de la demande définitive d’autorisation de construire, notamment celles de l’art. 59 al. 4 let. a LCI, avec l’exercice du pouvoir d’appréciation du département en matière d’aménagement du territoire et de droit des constructions après consultation de la commune et de la commission d’architecture, comme le TAPI l’a lui-même considéré, reste nécessaire. 6)</w:t>
      </w:r>
    </w:p>
    <w:p>
      <w:r>
        <w:t>Au vu de ce qui précède, le département n’était pas fondé à constater que la construction de trois villas mitoyennes n’était pas possible au motif que les droits à bâtir liés aux parcelles nos 1880 et 1881 étaient épuisés, ni à refuser, pour ce motif, d’entrer en matière sur la demande définitive d’autorisation de construire déposée par l’intimée. Le jugement querellé est conforme au droit.</w:t>
      </w:r>
    </w:p>
    <w:p>
      <w:r>
        <w:t>- 15/16 - A/1987/2016</w:t>
      </w:r>
    </w:p>
    <w:p>
      <w:r>
        <w:t>Le recours sera en conséquence rejeté, la cause devant en outre être renvoyée au département afin qu’il procède à une instruction de la demande définitive d’autorisation de construire et rende une nouvelle décision, au sens des considérants. 7)</w:t>
      </w:r>
    </w:p>
    <w:p>
      <w:r>
        <w:t>Vu l’issue du litige, aucun émolument ne sera perçu (art. 87 al. 1 LPA) et une indemnité de procédure de CHF 1'000.- sera allouée à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