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ATA/513/2016 vom 14. Juni 2016</w:t>
      </w:r>
    </w:p>
    <w:p>
      <w:r>
        <w:t>GE Cour de justice, 2016-06-14, FR</w:t>
      </w:r>
    </w:p>
    <w:p>
      <w:r>
        <w:rPr>
          <w:b/>
        </w:rPr>
        <w:t xml:space="preserve">Quelle: </w:t>
      </w:r>
      <w:r>
        <w:t>https://mcp.opencaselaw.ch/entscheid/ge_gerichte_ATA_513_2016</w:t>
      </w:r>
    </w:p>
    <w:p>
      <w:r>
        <w:t>FR: GE_GERICHTE ATA/513/2016 du 14 juin 2016</w:t>
      </w:r>
    </w:p>
    <w:p>
      <w:r>
        <w:t>IT: GE_GERICHTE ATA/513/2016 del 14 giugno 2016</w:t>
      </w:r>
    </w:p>
    <w:p>
      <w:pPr>
        <w:pStyle w:val="Heading2"/>
      </w:pPr>
      <w:r>
        <w:t>Regeste</w:t>
      </w:r>
    </w:p>
    <w:p>
      <w:r>
        <w:t>Résumé: Examen des conditions du rappel d'impôts. Confirmation des reprises effectuées par l'AFC. Examen des circonstances des prêts à l'actionnaire concédés par une société dont le contribuable est actionnaire et administrateur unique. Examen des transactions entre sociétés détenues par le contribuable. Confirmation de la quotité de l'amende.</w:t>
      </w:r>
    </w:p>
    <w:p>
      <w:pPr>
        <w:pStyle w:val="Heading2"/>
      </w:pPr>
      <w:r>
        <w:t>Erwägungen</w:t>
      </w:r>
    </w:p>
    <w:p>
      <w:r>
        <w:rPr>
          <w:b/>
        </w:rPr>
        <w:t>E. 12</w:t>
      </w:r>
    </w:p>
    <w:p>
      <w:r>
        <w:t>septembre 1985 - LPA - E 5 10). 2)</w:t>
      </w:r>
    </w:p>
    <w:p>
      <w:r>
        <w:t>Le présent litige porte sur la procédure en rappel et en soustraction d’impôt ouverte en 2013, qui concerne la période fiscale 2005 et qui a abouti à la reprise dans le revenu imposable ICC et IFD des recourants de montants au titre de prestations appréciables en argent. 3)</w:t>
      </w:r>
    </w:p>
    <w:p>
      <w:r>
        <w:t>Les questions de droit matériel sont résolues par le droit en vigueur au cours de la période fiscale litigieuse, à savoir respectivement les dispositions de la loi fédérale sur l’impôt fédéral direct du 14 décembre 1990 (LIFD - RS 642.11) et celles de l’ancien droit cantonal (aLIPP - I à V), sous réserve de l’amende, pour laquelle le principe de la lex mitior s’applique le cas échéant. 4) a. Les conditions régissant le rappel d’impôt sont réglementées de manière similaire aux plans fédéral et cantonal. Ainsi,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2 de la loi de procédure fiscale du 4 octobre 2001 - LPFisc - D 3 17).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w:t>
      </w:r>
    </w:p>
    <w:p>
      <w:r>
        <w:t>b. Le rappel d’impôt n’est soumis qu’à des conditions objectives et implique qu’une taxation n’a, à tort, pas été établie ou est restée incomplète, de sorte que la collectivité publique a subi une perte fiscale.</w:t>
      </w:r>
    </w:p>
    <w:p>
      <w:r>
        <w:t>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non publié in ATF 140 I 68 ; 2C_1225/2012 du 7 juin 2013 consid. 3.1 ; 2C_724/2010 du 27 juillet 2011 consid. 8.1 ; 2C_104/2008 du 20 juin 2008 consid. 3.3 ; 2A.300/2006 du 27 février 2007 consid. 3.3).</w:t>
      </w:r>
    </w:p>
    <w:p>
      <w:r>
        <w:t>- 6/15 - A/879/2014</w:t>
      </w:r>
    </w:p>
    <w:p>
      <w:r>
        <w:t>d. Pour sa part, le contribuable doit remplir la formule de déclaration d’impôt de manière conforme à la vérité et complète et y joindre les annexes (art. 124 al. 2 LIFD ; art. 26 al. 2 LPFisc), soit en particulier, pour les personnes physiques dont le revenu provient d’une activité lucrative indépendante, les extraits de comptes signés de la période fiscale ou, à défaut, un état des actifs et des passifs, un relevé des recettes et des dépenses ainsi que des prélèvements et apports privés (art. 125 al. 2 LIFD ; art. 29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w:t>
      </w:r>
    </w:p>
    <w:p>
      <w:r>
        <w:t>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non publié in ATF 140 I 68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(ATA/369/2015 du 21 avril 2015 ; ATA/517/2014 du 1er juillet 2014).</w:t>
      </w:r>
    </w:p>
    <w:p>
      <w:r>
        <w:t>- 7/15 - A/879/2014</w:t>
      </w:r>
    </w:p>
    <w:p>
      <w:r>
        <w:t>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(AFC-CH [administration fédérale des contributions], Circulaire n. 21, Le droit de rappel d’impôt et le droit pénal fiscal dans la loi sur l’impôt fédéral direct, du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w:t>
      </w:r>
    </w:p>
    <w:p>
      <w:r>
        <w:t>e. La chambre de céans a régulièrement considéré que l’AFC-GE ne commettait pas de négligence grave en ne confrontant pas des déclarations remplies par des sociétés, traitées par le service des personnes morales et celle remplie par un contribuable, personne physique (ATA/724/2015 du 14 juillet 2015 ; ATA/369/2015 précité ; ATA/517/2014 précité). La doctrine estime également que l’autorité de taxation ne doit pas sans autre se laisser imputer les connaissances d’un autre service de l’administration (Hugo CASANOVA, op. cit., p. 12). 5)</w:t>
      </w:r>
    </w:p>
    <w:p>
      <w:r>
        <w:t>En l’espèce, sur le plan chronologique, les bordereaux rectificatifs litigieux ont été émis après la décision sur réclamation concernant D______, confirmant la reprise au titre de prêt simulé. Cependant, au moment de la taxation litigieuse, les éléments figurant dans la déclaration ou dans le dossier des contribuables ne permettaient pas à l'AFC-GE de se rendre compte de l’opération triangulaire menée entre les sociétés impliquées et les recourants. Notamment, dans leur déclaration, les noms des créanciers faisaient défaut à l’exception de celui concernant le prêt à D______ et les domiciles des créanciers étaient faux. Ce n’est qu’en confrontant les déclarations remplies par les sociétés, traitées par le service des personnes morales et celle remplie par les contribuables que les éléments litigieux pouvaient apparaître. En particulier, la reprise chez l’actionnaire d’un prêt consenti entre sociétés sœurs ne pouvait pas être décelée lors de la taxation des personnes physiques. Le fait de ne pas avoir repéré immédiatement cet élément, qui n’est pas flagrant ou évident, ne peut être qualifié de négligence grave dans le traitement du dossier et cela même si les informations provenant de la procédure de taxation de la société n’ont pas été communiquées ou exploitées immédiatement par les services concernés.</w:t>
      </w:r>
    </w:p>
    <w:p>
      <w:r>
        <w:t>Les conditions pour l’ouverture d’une procédure en rappel d’impôt sont donc remplies en l’espèce. 6)</w:t>
      </w:r>
    </w:p>
    <w:p>
      <w:r>
        <w:t>Les recourants contestent les reprises faites par l’AFC-GE au titre de prestations appréciables en argent, confirmées par le jugement du TAPI. Les prêts n’étaient pas fictifs et ne pouvaient être qualifiés de tels après coup, alors que les</w:t>
      </w:r>
    </w:p>
    <w:p>
      <w:r>
        <w:t>- 8/15 - A/879/2014 taxations précédentes n’avaient pas retenu cette qualification. En outre, l’absence de contrat écrit n’était pas déterminante.</w:t>
      </w:r>
    </w:p>
    <w:p>
      <w:r>
        <w:t>a. En vertu des art. 20 al. 1 let. c LIFD et art. 6 let. c de l’ancienne loi sur l’imposition des personnes physiques - Impôt sur le revenu (revenu imposable) du 22 septembre 2000 (aLIPP-IV - D 3 14), est imposable le rendement de la fortune mobilières, en particulier les dividendes, les parts de bénéfice, les excédents de liquidation et tous autres avantages appréciables en argent provenant de participations de tout genre.</w:t>
      </w:r>
    </w:p>
    <w:p>
      <w:r>
        <w:t>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ATA/724/2015 précité ; Xavier OBERSON, Droit fiscal suisse, 4ème éd., 2012, p. 138 n. 139). En raison du contenu similaire de l’art. 20 al. 1 let. c LIFD et de l’art. 6 let. c aLIPP,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 (ATA/594/2015 du 9 juin 2015).</w:t>
      </w:r>
    </w:p>
    <w:p>
      <w:r>
        <w:t>c.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w:t>
      </w:r>
    </w:p>
    <w:p>
      <w:r>
        <w:rPr>
          <w:b/>
        </w:rPr>
        <w:t>E. 17</w:t>
      </w:r>
    </w:p>
    <w:p>
      <w:r>
        <w:t>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w:t>
      </w:r>
    </w:p>
    <w:p>
      <w:r>
        <w:t>- 9/15 - A/879/2014 consid. 3.2 ; 138 II 57 consid. 2.2 ; arrêt du Tribunal fédéral 2C_927/2013 du</w:t>
      </w:r>
    </w:p>
    <w:p>
      <w:r>
        <w:rPr>
          <w:b/>
        </w:rPr>
        <w:t>E. 21</w:t>
      </w:r>
    </w:p>
    <w:p>
      <w:r>
        <w:t>mai 2014 consid. 5.1).</w:t>
      </w:r>
    </w:p>
    <w:p>
      <w:r>
        <w:t>d.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du 2 août 2005 ; Yves NOËL, in Danielle YERSIN/Yves NOËL [éd.], Impôt fédéral direct, Loi sur l’impôt fédéral direct – commentaire romand, 2008, n. 96 ad art. 20). 7) a. Selon la jurisprudence, une société anonyme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w:t>
      </w:r>
    </w:p>
    <w:p>
      <w:r>
        <w:t>b. 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w:t>
      </w:r>
    </w:p>
    <w:p>
      <w:r>
        <w:t>c. Dans les cas de prestations appréciables en argent entre sociétés sœurs, l'avantage passe immédiatement d'une société à l'autre. Entre de telles sociétés, des attributions fondées sur un rapport de participation commun constituent des</w:t>
      </w:r>
    </w:p>
    <w:p>
      <w:r>
        <w:t>- 10/15 - A/879/2014 prestations appréciables en argent pour l'actionnaire d'une part et des apports dissimulés de capital de l'actionnaire à la société d'autre part (ATF 138 II 57 précité consid. 4.2).</w:t>
      </w:r>
    </w:p>
    <w:p>
      <w:r>
        <w:t>d. Toutefois, en matière de prêt simulé entre deux sociétés sœurs, il ne suffit pas de mettre en évidence que le prêt en question n'aurait pas été octroyé entre tiers qui ne seraient pas proches ou alors seulement à d'autres conditions. Bien plus, il faut encore démontrer que, sur la base de la relation particulière entre les proches, on ne peut pas – ou plus – compter sérieusement sur un remboursement de l'emprunt (ATF 138 II 57 précité consid. 5).</w:t>
      </w:r>
    </w:p>
    <w:p>
      <w:r>
        <w:t>e. Par conséquent, à teneur de la jurisprudence du Tribunal fédéral (ATF 138 II 57 consid. 5.1 à 5.3), les critères susmentionnés revêtent une importance différente : – à elle seule, l'absence d'une convention écrite ne s'avère que peu concluante (Archives 64 641 consid. 4a) puisqu'elle peut reposer sur d'autres raisons qu'une intention de simulation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 –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 Pareillement, il y a lieu de faire des distinctions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w:t>
      </w:r>
    </w:p>
    <w:p>
      <w:r>
        <w:t>- 11/15 - A/879/2014 serrées et qu'il ne lui est pas possible de satisfaire dans la durée, par ses propres moyens, aux obligations résultant de l'emprunt (paiement de l'intérêt et de l'amortissement, p. ex. dans un excédent de passifs de plusieurs millions de francs). 8)</w:t>
      </w:r>
    </w:p>
    <w:p>
      <w:r>
        <w:t>En l’espèce, en tenant compte des pièces figurant au dossier et des explications fournies par les recourants dans la procédure de taxation de D______ et dans la présente procédure, il appert, s’agissant des prêts de D______ à son actionnaire que les recourants ne démontrent pas et n’allèguent même pas avoir versé des intérêts. Ceux-ci étaient ajoutés au capital selon les explications données par leur fiduciaire le 30 avril 2007, le solde représentant alors l’intérêt et le capital dû. Il n’existait pas de contrat écrit qui aurait été produit par les recourants. S’agissant de l’avance à terme fixe de CHF 407'025.- accordée en 2005, elle a servi, aux dires du recourant, de relais dans une affaire dans laquelle le contribuable avait été abusé par une tierce personne et contre laquelle il avait définitivement perdu sa créance. Aucune échéance de remboursement n’était prévue, les recourants exposant maintenant que certains prêts devaient être remboursés en 2014. Les prêts devaient être remboursés soit sous forme d’un dividende compensatoire, soit grâce à des fonds provenant d’une succession intervenue en 2013. À ces éléments s’ajoute, quant à la solvabilité de l’actionnaire, que sa fortune mobilière de CHF 3'755'137.- au 31 décembre 2005 était constituée presque entièrement par les titres de D______, mettant en doute sa capacité de remboursement. À cela s’ajoute encore que le recourant est administrateur unique de la société dont il possède toutes les actions et dont le but statutaire n’est pas en rapport avec la mise à disposition de fonds.</w:t>
      </w:r>
    </w:p>
    <w:p>
      <w:r>
        <w:t>S’agissant du prêt de CHF 500'925.- de D______ à C______, il avait pour but de mettre à disposition de M. B______, actionnaire unique des deux sociétés, des fonds à injecter dans C______ pour remplacer un refus de la banque d’accroître le financement de cette société. Selon le cours ordinaire des affaires, un tel prêt n’aurait manifestement pas pu être obtenu sans l’intervention de l’intéressé : le refus de la banque précité en est une preuve et aucun tiers n’aurait accepté d’avancer un montant d’une telle ampleur à cette société en l’absence de garanties qu’elle n’était pas en état de fournir.</w:t>
      </w:r>
    </w:p>
    <w:p>
      <w:r>
        <w:t>C’est donc à juste titre que les montants de CHF 986'954.- et de CHF 500'925.- reçus par les contribuables ont été ajoutés à leurs revenus en tant que rendement de la fortune mobilière. 9)</w:t>
      </w:r>
    </w:p>
    <w:p>
      <w:r>
        <w:t>Les recourants contestent l’amende pour soustraction d’impôt dans son principe et dans sa quotité. Ils auraient déposé une déclaration complète et n’auraient rien dissimulé à l’AFC-GE.</w:t>
      </w:r>
    </w:p>
    <w:p>
      <w:r>
        <w:t>a. Selon les art. 175 al. 1 LIFD, art. 56 al. 1 LHID et art. 69 LPFisc, le contribuable qui, intentionnellement ou par négligence, fait en sorte qu'une</w:t>
      </w:r>
    </w:p>
    <w:p>
      <w:r>
        <w:t>- 12/15 - A/879/2014 taxation ne soit pas effectuée alors qu'elle devrait (ou aurait dû) l'être, ou qu'une taxation entrée en force soit incomplète, est puni d’une amende.</w:t>
      </w:r>
    </w:p>
    <w:p>
      <w:r>
        <w:t>Conformément à la jurisprudence du Tribunal fédéral (arrêts du Tribunal fédéral 2C_1007/2012 du 15 mars 2013 consid. 5.1 ; 2C_907/2012 du</w:t>
      </w:r>
    </w:p>
    <w:p>
      <w:r>
        <w:rPr>
          <w:b/>
        </w:rPr>
        <w:t>E. 22</w:t>
      </w:r>
    </w:p>
    <w:p>
      <w:r>
        <w:t>mai 2013 consid. 5.4.1 et les références citées), pour qu'une soustraction fiscale soit réalisée, trois éléments doivent être réunis : la soustraction d'un montant d'impôt, la violation d'une obligation légale incombant au contribuable et la faute de ce dernier.</w:t>
      </w:r>
    </w:p>
    <w:p>
      <w:r>
        <w:t>b. La soustraction est punissable aussi bien lorsqu'elle est commise intentionnellement que lorsqu'elle l'est par négligence. Le contribuable agit intentionnellement, lorsqu’il agit avec conscience et volonté (art. 12 al. 2 du Code pénal suisse du 21 décembre 1937 - CP - RS 311.0, applicable par renvoi combiné des art. 333 al. 1 et art.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du Tribunal fédéral 2C_908/2011 du 23 avril 2012 consid. 3.4). Le dol éventuel suffit ; il suppose que l'auteur envisage le résultat dommageable, mais agit néanmoins, parce qu'il s'en accommode au cas où il se produirait (ATF 130 IV 58 consid. 8.2).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ATA/828/2013 du 17 décembre 2013 et les références citées).</w:t>
      </w:r>
    </w:p>
    <w:p>
      <w:r>
        <w:t>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ATA/724/2015 précité ; ATA/693/2009 du 22 décembre 2009). La négligence implique de porter un jugement sur le comportement de l’auteur, en se demandant ce qu’il aurait pu et dû faire, et non de rechercher ce qu’il avait à l’esprit (ATA/724/2015 précité).</w:t>
      </w:r>
    </w:p>
    <w:p>
      <w:r>
        <w:t>En l’espèce, contrairement à ce que retiennent les recourants, leur déclaration fiscale n’était pas complète, dans la mesure où les indications</w:t>
      </w:r>
    </w:p>
    <w:p>
      <w:r>
        <w:t>- 13/15 - A/879/2014 concernant les créanciers étaient lacunaires, et même inexactes s’agissant du domicile indiqué. Ce faisant, ils ont contrevenu à leurs obligations. 10) Dès lors que les amendes se révèlent fondées dans leur principe, reste à examiner leur quotité. Les recourants estiment qu’une réduction à un tiers du montant d’impôts soustraits doit leur être accordée parce qu’ils n’avaient eu, à aucun moment, la volonté d’éluder une quelconque obligation fiscale.</w:t>
      </w:r>
    </w:p>
    <w:p>
      <w:r>
        <w:t>En règle générale, l’amende est fixée au montant de l’impôt soustrait. Si la faute est légère, l’amende peut être réduite jusqu’au tiers de ce montant ; si la faute est grave, elle peut au plus être triplée (art. 175 al. 2 LIFD et 69 al. 2 LPFisc).</w:t>
      </w:r>
    </w:p>
    <w:p>
      <w:r>
        <w:t>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(ATA/647/2013 du 1er octobre 2013 consid. 11 ; ATA/337/2013 du 28 mai 2013 consid. 23).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w:t>
      </w:r>
    </w:p>
    <w:p>
      <w:r>
        <w:t>En l’espèce, l’AFC-GE, suivie par le TAPI, a retenu que les recourants avaient été négligents et a souligné leur bonne collaboration. En fixant l’amende à la moitié de l’impôt soustrait, l’AFC-GE n’a pas mésusé de son pouvoir d’appréciation. Proche du minimum prévu par la loi, cette quotité prend en compte les circonstances du cas d’espèce, les recourants n’invoquant aucun autre élément qui devrait être pris en compte dans la fixation des amendes. Celles-ci n’apparaissent donc pas disproportionnées. 11) Infondé, le recours sera rejeté.</w:t>
      </w:r>
    </w:p>
    <w:p>
      <w:r>
        <w:t>Vu l'issue du litige, un émolument de CHF 1'000.- sera mis à la charge des recourants, pris conjointement et solidairement, qui succombent (art. 87 al. 1 LPA), et aucune indemnité de procédure ne leur sera allouée (art. 87 al. 2 LPA).</w:t>
      </w:r>
    </w:p>
    <w:p>
      <w:r>
        <w:t>* * * * *</w:t>
      </w:r>
    </w:p>
    <w:p>
      <w:r>
        <w:t>- 14/15 - A/879/2014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