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ATA/511/2024 vom 23. April 2024</w:t>
      </w:r>
    </w:p>
    <w:p>
      <w:r>
        <w:t>GE Cour de justice, 2024-04-23, FR</w:t>
      </w:r>
    </w:p>
    <w:p>
      <w:r>
        <w:rPr>
          <w:b/>
        </w:rPr>
        <w:t xml:space="preserve">Quelle: </w:t>
      </w:r>
      <w:r>
        <w:t>https://mcp.opencaselaw.ch/entscheid/ge_gerichte_ATA_511_2024</w:t>
      </w:r>
    </w:p>
    <w:p>
      <w:r>
        <w:t>FR: GE_GERICHTE ATA/511/2024 du 23 avril 2024</w:t>
      </w:r>
    </w:p>
    <w:p>
      <w:r>
        <w:t>IT: GE_GERICHTE ATA/511/2024 del 23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a pour objet le refus de l’autorité intimée d'entrer en matière sur la demande de reconsidération des recourants.</w:t>
      </w:r>
    </w:p>
    <w:p>
      <w:r>
        <w:rPr>
          <w:b/>
        </w:rPr>
        <w:t>E. 2.1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w:t>
      </w:r>
    </w:p>
    <w:p>
      <w:r>
        <w:t>- 9/12 - A/760/2023 pouvait connaître ou invoquer dans la procédure précédente (art. 80 let. b LPA ; faits nouveaux « anciens » ; ATA/98/2024 du 30 janvier 2024 consid. 3.1 ; ATA/1301/2023 du 5 décembre 2023 consid. 5.2).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Pour qu’une telle condition soit réalisée, il faut que survienne une modification importante de l’état de fait ou des bases juridiques, ayant pour conséquence, malgré l’autorité de la chose jugée rattachée à la décision en force, la remise en question de cette dernière (ATA/1115/2023 du 10 octobre 2023 consid. 2.1 et les références citées). 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w:t>
      </w:r>
    </w:p>
    <w:p>
      <w:r>
        <w:rPr>
          <w:b/>
        </w:rPr>
        <w:t>E. 2.2</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Si toutefois la situation a changé, les conditions posées au réexamen seront en principe remplies (arrêts du Tribunal fédéral 2C_203/2020 du 8 mai 2020 consid. 4.3 ; 2C_715/2011 du 2 mai 2012 consid. 4.2 ; ATA/1115/2023 précité consid. 2.3). L’écoulement du temps et la poursuite d’une intégration socioprofessionnelle ne peuvent être qualifiés d’éléments notables au sens de l’art. 48 al. 1 let. b LPA lorsqu’ils résultent uniquement du fait que l’étranger ne s’est pas conformé à une décision initiale malgré son entrée en force (ATA/98/2024 précité consid. 3.2 ; ATA/1114/2023 du 10 octobre 2023 consid. 2.7 et les références citées).</w:t>
      </w:r>
    </w:p>
    <w:p>
      <w:r>
        <w:rPr>
          <w:b/>
        </w:rPr>
        <w:t>E. 2.3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Si lesdites conditions sont réalisées, ou si l’autorité entre en matière volontairement sans y être tenue, et rend une nouvelle décision identique à la première sans avoir réexaminé le fond de l’affaire, le recours ne pourra en principe</w:t>
      </w:r>
    </w:p>
    <w:p>
      <w:r>
        <w:t>- 10/12 - A/760/2023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2.4</w:t>
      </w:r>
    </w:p>
    <w:p>
      <w:r>
        <w:t>En l’espèce, l’autorité intimée n’est pas entrée en matière sur la demande de reconsidération de sa décision du 26 juin 2020, ce qu’a confirmé le TAPI, de sorte que seule sera examinée la violation alléguée de l’art. 48 LPA, à l’exclusion de l’application des art. 30 al. 1 let. b de la loi fédérale sur les étrangers et l’intégration du 16 décembre 2005 (LEI - RS 142.20) et 31 de l’ordonnance relative à l’admission, au séjour et à l’exercice d’une activité lucrative du 24 octobre 2007 (OASA - RS 142.201). Les recourants n’invoquent aucun « fait nouveau ancien » (ou nova improprement dits), si bien que seule l’application de l’art. 48 al. 1 let. b LPA est envisageable. Comme relevé par le TAPI, les éléments mis en avant par les recourants, à savoir une plus longue durée de séjour, une intégration renforcée au fil du temps, en particulier sur le plan professionnel, et la scolarisation de leur fils aîné sont liés au simple écoulement du temps et à l’évolution normale de leur intégration en Suisse, si bien que, conformément à la jurisprudence précitée, ils ne peuvent être qualifiés d’éléments notables au sens de l’art. 48 al. 1 let. b LPA. L'autorité intimée n'était dès lors pas tenue de procéder à une nouvelle pesée d'intérêts complète. Il sied de relever que, contrairement à ce que prétendent les recourants, ils ont bien mis les autorités de migration devant le fait accompli, dès lors qu'ils sont restés en Suisse en violation de la décision de renvoi entrée en force. Ils auraient pu utiliser les moyens de droit à leur disposition depuis leur pays d'origine, comme le prévoit du reste l'art. 17 LEI. Entièrement mal fondé, le recours sera par conséquent rejeté, le prononcé du présent arrêt rendant sans objet la demande d'octroi de l'effet suspensif.</w:t>
      </w:r>
    </w:p>
    <w:p>
      <w:r>
        <w:rPr>
          <w:b/>
        </w:rPr>
        <w:t>E. 3</w:t>
      </w:r>
    </w:p>
    <w:p>
      <w:r>
        <w:t>Vu l’issue du litige, un émolument de CHF 400.- sera mis à la charge solidaire des recourants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