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ATA/511/2023 vom 16. Mai 2023</w:t>
      </w:r>
    </w:p>
    <w:p>
      <w:r>
        <w:t>GE Cour de justice, 2023-05-16, FR</w:t>
      </w:r>
    </w:p>
    <w:p>
      <w:r>
        <w:rPr>
          <w:b/>
        </w:rPr>
        <w:t xml:space="preserve">Quelle: </w:t>
      </w:r>
      <w:r>
        <w:t>https://mcp.opencaselaw.ch/entscheid/ge_gerichte_ATA_511_2023</w:t>
      </w:r>
    </w:p>
    <w:p>
      <w:r>
        <w:t>FR: GE_GERICHTE ATA/511/2023 du 16 mai 2023</w:t>
      </w:r>
    </w:p>
    <w:p>
      <w:r>
        <w:t>IT: GE_GERICHTE ATA/511/2023 del 16 maggio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LPA). 2. Le litige porte sur le refus de l'intimé de proposer au SEM l'octroi d'une autorisation de séjour et sur le prononcé du renvoi de Suisse de la recourante. 2.1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2.2 Le 1er janvier 2019 est entrée en vigueur une modification de la loi sur les étrangers du 16 décembre 2005 (LEtr), qui a alors été renommée LEI, et de l'ordonnance relative à l'admission, au séjour et à l'exercice d'une activité lucrative du 24 octobre 2007 (OASA - RS 142.201). L'ancien droit s'applique en l'espèce, la demande de reconsidération ayant été présentée le 18 avril 2016 (arrêt du Tribunal fédéral 2C_404/2022 du 4 août 2022 consid. 6.1) – étant précisé cependant que la plupart des dispositions de la LEI sont demeurées identiques. 2.3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Ghana. 3. Aux termes de l'art. 43 al. 1 LEI, le conjoint étranger du titulaire d'une autorisation d'établissement a droit à l’octroi d’une autorisation de séjour et à la prolongation de sa durée de validité, à condition notamment de vivre en ménage commun avec lui.</w:t>
      </w:r>
    </w:p>
    <w:p>
      <w:r>
        <w:t>- 14/23 - A/889/2019 4. L'art. 30 al. 1 let. b LEI permet de déroger aux conditions d'admission en Suisse, telles que prévues aux art. 18 à 29 LEI, notamment aux fins de tenir compte des cas individuels d'une extrême gravité ou d'intérêts publics majeurs. 4.1 L'art. 31 al. 1 OASA, dans sa teneur avant le 1er janvier 2019, prévoyait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1er juillet 2018, ch. 5.6.12 [ci-après : directives LEI]). 4.2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4.3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sept à huit ans (arrêt du TAF C-7330/2010 du 19 mars 2012 consid. 5.3 ; Minh SON NGUYEN/Cesla AMARELLE, Code annoté de droit des migrations, vol. II, loi sur les étrangers, 2017, p. 269). Les années passées en Suisse dans l'illégalité ou au bénéfice d'une simple tolérance ne sont pas déterminantes (ATF 137 II 1 consid. 4.3 ; 134 II 10 consid. 4.3).</w:t>
      </w:r>
    </w:p>
    <w:p>
      <w:r>
        <w:t>- 15/23 - A/889/2019 4.4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4.5 Dans un arrêt de principe (ATF 123 II 125),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 4.6 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5</w:t>
      </w:r>
    </w:p>
    <w:p>
      <w:r>
        <w:t>Toute personne a droit au respect de sa vie privée et familiale (art. 8 § 1 CEDH et 13 al. 1 Cst.)</w:t>
      </w:r>
    </w:p>
    <w:p>
      <w:r>
        <w:rPr>
          <w:b/>
        </w:rPr>
        <w:t>E. 5.1</w:t>
      </w:r>
    </w:p>
    <w:p>
      <w:r>
        <w:t>Un étranger peut se prévaloir de l'art. 8 § 1 CEDH pour s'opposer à l'éventuelle séparation de sa famille. Selon la jurisprudence fédérale, pour pouvoir invoquer l'art. 8 CEDH, il faut que l'étranger entretienne une relation étroite et effective avec une personne de sa famille ayant le droit de résider durablement en Suisse (ATF 137 I 284 consid. 1.3 ; 135 I 143 consid. 1.3.1). Ceci est en particulier le cas lorsque le</w:t>
      </w:r>
    </w:p>
    <w:p>
      <w:r>
        <w:t>- 16/23 - A/889/2019 membre de la famille dispose de la nationalité suisse, d'une autorisation d'établissement ou d'une autorisation de séjour découlant elle-même d'un droit stable (ATF 144 II 1 consid. 6.1 ; 130 II 281 consid. 3.1 ; 126 II 335 consid. 2a), par exemple pour les réfugiés reconnus (Directives SEM, ch. 6.17.2.2). En présence de circonstances toutes particulières, une simple autorisation de séjour suffit, s'il apparaît que l'étranger peut se prévaloir « de fait » d'un droit de présence assuré en Suisse (arrêt du Tribunal fédéral 2C_360/2016 du 31 janvier 2017 consid. 5.2 ; arrêt du TAF F-6468/2020 du 12 janvier 2022 consid. 6.1). Les relations familiales qui peuvent fonder un droit à la délivrance d'une autorisation, en vertu de l'art. 8 CEDH, sont avant tout les rapports entre époux ainsi qu'entre parents et enfants mineurs vivant ensemble (ATF 144 II 1 consid. 6.1). Il y a néanmoins lieu de relever que la condition du droit de présence assuré ne se retrouve pas dans la jurisprudence de la CourEDH, et que celle-ci a à différentes reprises examiné le droit au respect de la vie familiale de personnes ne bénéficiant pas d'un tel droit, par exemple dans les cas d'un couple de demandeurs d'asile qui avaient été placés dans des cantons différents (ACEDH Agraw c. Suisse du 29 juillet 2010, req. n° 3295/06, § 46 ; dans l'ACEDH Mengesha Kimfe c. Suisse du 29 juillet 2010, req. n° 24404/05, § 22, portant sur un cas similaire, il est du reste mentionné que l'autorité suisse de migration avait fait valoir l'absence de droit de présence stable de chacun des conjoints pour motiver son refus), d'un mineur ayant un statut de protection internationale subsidiaire qui voulait que sa mère puisse le rejoindre (ACEDH M.T. et autres c. Suède du 20 octobre 2022, req. n° 22105/18, § 49) ou d'une personne dont le statut équivalait à une admission provisoire d'obtenir une autorisation de séjour pour son épouse au titre du regroupement familial (ACEDH M.A. c. Danemark du 9 juillet 2021, req. n° 6697/2018, § 72).</w:t>
      </w:r>
    </w:p>
    <w:p>
      <w:r>
        <w:rPr>
          <w:b/>
        </w:rPr>
        <w:t>E. 5.2</w:t>
      </w:r>
    </w:p>
    <w:p>
      <w:r>
        <w:t>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Dans la pesée des intérêts, il faut aussi tenir compte de l’intérêt de l’enfant à maintenir des contacts réguliers avec son parent, objet de la mesure, ainsi que l’exige l’art. 3 de la Convention relative aux droits de l’enfant du 20 novembre 1989, entrée en vigueur pour la Suisse à compter le 26 mars 1997 (CDE - RS 0.107), étant toutefois précisé que, sous l’angle du droit des étrangers, cet élément n’est pas prépondérant par rapport</w:t>
      </w:r>
    </w:p>
    <w:p>
      <w:r>
        <w:t>- 17/23 - A/889/2019 aux autres et que la disposition en cause ne fonde pas une prétention directe à l’octroi ou au maintien d’une autorisation (ATF 144 I 91 consid. 5.2 et les références citées). L’intérêt de l’enfant est ainsi un élément d'appréciation dont l'autorité doit tenir compte lorsqu'il s'agit de mettre en balance les différents intérêts en présence (ATF 139 I 315 consid. 2.4 ; arrêt du Tribunal fédéral 2C_851/2014 du 24 avril 2015 consid. 4.2). La CourEDH indique quant à elle que lorsque des enfants sont impliqués, leur intérêt supérieur doit être pris en compte, et que même s'il ne peut être décisif à lui seul, cet intérêt doit se voir accorder un poids significatif. En conséquence, les organes décisionnels nationaux devraient, en principe, examiner et évaluer les éléments de preuve relatifs à l'aspect pratique, à la faisabilité et à la proportionnalité de tout déplacement d'un parent non national afin d'accorder une protection efficace et un poids suffisant à l'intérêt supérieur des enfants directement concernés par ce déplacement (ACEDH T.C.E. c. Allemagne du 1er mars 2018, req. n° 58681/12, § 57).</w:t>
      </w:r>
    </w:p>
    <w:p>
      <w:r>
        <w:rPr>
          <w:b/>
        </w:rPr>
        <w:t>E. 5.3</w:t>
      </w:r>
    </w:p>
    <w:p>
      <w:r>
        <w:t>Selon le Tribunal fédéral, en cas de regroupement familial inversé, la jurisprudence a toujours admis que l’enfant mineur titulaire d’une autorisation d’établissement partage, du point de vue du droit des étrangers, le sort du parent qui en a la garde car, contrairement aux enfants de nationalité suisse, ils n’ont pas le droit de demeurer en Suisse en tant que citoyen. Il n’y a ainsi pas atteinte à la vie familiale lorsque son renvoi est exigible, ce qui est en principe le cas pour un enfant en bas âge ou qui ne se trouve pas à la fin de scolarité obligatoire (arrêt du Tribunal fédéral 2C_792/2013 du 11 février 2014 consid. 5.1 et les arrêts cités).</w:t>
      </w:r>
    </w:p>
    <w:p>
      <w:r>
        <w:rPr>
          <w:b/>
        </w:rPr>
        <w:t>E. 5.4</w:t>
      </w:r>
    </w:p>
    <w:p>
      <w:r>
        <w:t>Lorsque le parent étranger n'a pas l'autorité parentale ni la garde ou lorsqu'il a l'autorité parentale conjointe, mais sans la garde, et ne dispose ainsi que d'un droit de visite sur son enfant habilité à résider en Suisse, il n'est en principe pas nécessaire que, dans l'optique de pouvoir exercer ce droit de visite, le parent étranger soit habilité à résider durablement dans le même pays que son enfant (ATF 144 I 91 consid. 5.1 ; 140 I 145 consid. 3.2 ; arrêt du Tribunal fédéral 2C_1009/2018 du 30 janvier 2019 consid. 3.4.1). Sous l'angle du droit à une vie familiale (art. 8 § 1 CEDH et 13 al. 1 de la Constitution fédérale de la Confédération suisse du 18 avril 1999 - Cst. - RS 101), il suffit en règle générale que le parent vivant à l'étranger exerce son droit de visite dans le cadre de séjours brefs, au besoin en en aménageant les modalités quant à la fréquence et à la durée ou par le biais de moyens de communication modernes (ATF 144 I 91 consid. 5.1).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147 I 149 consid. 4 ; 144 I 91 consid. 5.2 et les arrêts cités). Ces exigences doivent être appréciées</w:t>
      </w:r>
    </w:p>
    <w:p>
      <w:r>
        <w:t>- 18/23 - A/889/2019 ensemble et faire l'objet d'une pesée des intérêts globale (ATF 144 I 91 consid. 5.2 sur chacune des conditions ; arrêts du Tribunal fédéral 2C_950/2017 du 16 mai 2018 consid. 4.1 et 2C_665/2017 du 9 janvier 2018 consid. 4.2.1 lorsque le parent n'a pas de droit de séjour préalable).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(arrêts du Tribunal fédéral 2C_11/2022 du 8 février 2023 consid. 5.3.4 ; 2C_1018/2020 du 24 mars 2021 consid. 3.1.3 ; 2C_1108/2018 du 10 janvier 2019 consid. 5.1). La jurisprudence a toutefois relativisé cette condition dans des situations spécifiques, notamment lorsque le séjour de l'enfant de nationalité suisse serait mis en cause (ATF 135 I 153 consid. 2.2.1) ou lorsque seule une atteinte de peu d'importance à l'ordre public est reprochée tandis qu'un lien affectif et économique particulièrement fort avec l'enfant est établi (ATF 140 I 143).</w:t>
      </w:r>
    </w:p>
    <w:p>
      <w:r>
        <w:rPr>
          <w:b/>
        </w:rPr>
        <w:t>E. 5.5</w:t>
      </w:r>
    </w:p>
    <w:p>
      <w:r>
        <w:t>Ce n'est que lorsque le parent étranger a l'autorité parentale et le droit de garde sur son enfant, et que cet enfant est de nationalité suisse, que les règles sont moins strictes (arrêt du Tribunal fédéral 2C_1009/2018 du 30 janvier 2019 consid. 3.4.2). Ainsi, lors de la pesée des intérêts au sens de l'art. 8 par. 2 CEDH, le fait que le parent étranger qui cherche à obtenir une autorisation de séjour en invoquant ses relations avec un enfant suisse (regroupement familial inversé) a adopté un comportement illégal est à prendre en compte dans les motifs d'intérêt public incitant à refuser l'autorisation requise. Toutefois, seule une atteinte d'une certaine gravité à l'ordre et à la sécurité publics peut l'emporter sur le droit de l'enfant suisse de pouvoir grandir dans sa patrie avec le parent qui a le droit de garde et l'autorité parentale sur lui (ATF 140 I 145 consid. 3.3 ; 137 I 247 consid. 4.2.1 et 4.2.2 ; 136 I 285 consid. 5.2 ; 135 I 153 consid. 2.2 ; arrêt du Tribunal fédéral 2C_1009/2018 précité consid. 3.4.2). Cette jurisprudence est dictée par le fait que le départ du parent qui a la garde de l'enfant de nationalité suisse entraîne de facto l'obligation pour ce dernier de quitter la Suisse. En pareil cas, le renvoi du parent entre ainsi en conflit avec les droits que l'enfant peut tirer de sa nationalité suisse, comme la liberté d'établissement, l'interdiction du refoulement ou le droit de revenir ultérieurement en Suisse (ATF 140 I 145 consid. 3.3 ; arrêt du Tribunal fédéral 2C_606/2013 du 4 avril 2014 consid. 5.3).</w:t>
      </w:r>
    </w:p>
    <w:p>
      <w:r>
        <w:rPr>
          <w:b/>
        </w:rPr>
        <w:t>E. 5.6</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w:t>
      </w:r>
    </w:p>
    <w:p>
      <w:r>
        <w:t>- 19/23 - A/889/2019 importent les liens personnels, c'est-à-dire l'existence effective de liens familiaux particulièrement forts d'un point de vue affectif (ATF 143 I 21 consid. 5.5.4 ; 139 I 315 consid. 2.3). Sous l'angle temporel,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 ; 140 I 145 consid. 4.2 et les références citées ; ATA/1798/2019 du 10 décembre 2019 consid. 4b et les références citées).</w:t>
      </w:r>
    </w:p>
    <w:p>
      <w:r>
        <w:rPr>
          <w:b/>
        </w:rPr>
        <w:t>E. 5.7</w:t>
      </w:r>
    </w:p>
    <w:p>
      <w:r>
        <w:t>En l'espèce, comme jugé par le TAPI, la recourante ne peut avoir droit à une autorisation de séjour sur la base de l'art. 43 LEI en l'absence de lien marital avec B______. Le TAPI a par ailleurs examiné la situation de la recourante exclusivement à l'aune de l'art. 8 CEDH. Il est vrai que la décision de l'intimé du 30 janvier 2019 n'examine pas la question du cas d'extrême gravité, mais la situation à traiter se présentait sous un jour différent à l'époque, dès lors que se posait avant tout la question du sort de C______, qui n'avait pas encore de titre de séjour et dont le cas était traité en même temps que celui de sa mère. Par ailleurs, la procédure ayant déjà duré plus de sept ans depuis le dépôt de la demande de reconsidération à l'origine du présent litige, il se justifie de prendre en compte cet aspect, en tant que de besoin, dans le présent arrêt et d'examiner conjointement la question du cas d'extrême gravité et celle du droit au respect de la vie familiale au sens de l'art. 8 CEDH. À ce dernier égard, la recourante est actuellement, du point de vue légal, titulaire de l'autorité parentale sur sa fille mais non du droit de garde. Sur les quatre conditions posées par la jurisprudence du Tribunal fédéral, deux ne sont pas ou pas complètement données. En effet, la recourante est depuis un certain temps à la charge de l'aide sociale, ce qui ne lui permet pas d'assurer par elle-même l'entretien de sa fille et donc de remplir la condition des relations économiques étroites et effectives ; il s'agit en outre d'un motif d'éloignement (art. 62 al. 1 let. c et 63 al. 1 let c. c LEI), si bien que la condition du comportement irréprochable n'est pas remplie, malgré l'absence de toute condamnation pénale. Cela étant, le SEM a récemment octroyé à la fille de la recourante une autorisation de séjour pour cas d'extrême gravité, en considérant d'une part que la recourante était la gardienne de fait de C______, et d'autre part qu'un cas de rigueur était donné dans la mesure où un renvoi de la précitée au Ghana constituerait un</w:t>
      </w:r>
    </w:p>
    <w:p>
      <w:r>
        <w:t>- 20/23 - A/889/2019 déracinement trop profond. Conformément à la jurisprudence du Tribunal fédéral et du TAF citée plus haut, on se trouve en l'occurrence dans les circonstances particulières permettant de retenir que C______ peut se prévaloir « de fait » d'un droit de présence assuré en Suisse. En effet, le trop grand déracinement retenu en 2022 par le SEM comme cas d'extrême gravité en cas de renvoi au Ghana ne va faire que s'accentuer avec l'écoulement du temps, si bien que seuls des motifs de révocation de l'autorisation pourraient a priori conduire au non- renouvellement de celle-ci. Par ailleurs, un lien affectif particulièrement fort entre C______ et sa mère est incontesté. Quant à la prémisse retenue par le SEM selon laquelle la recourante serait la gardienne de fait de sa fille, il en résulte que même si elle n'est pas économiquement indépendante, c'est elle qui pourvoit à l'entretien de sa fille, ceci sans bénéficier du supplément d'aide sociale y afférent puisqu'elle n'en a pas officiellement la garde. Il en découle aussi – et surtout – qu'il serait illogique, et contraire à l'intérêt supérieur de l'enfant, de permettre à une jeune adolescente de rester en Suisse tout en expulsant son parent gardien de fait, puisque cela impliquerait de livrer C______ à elle-même. Dès lors, au vu des circonstances très particulières d'espèce, une autorisation de séjour pour cas de rigueur et/ou sur la base de l'art. 8 CEDH doit aussi être délivrée à la recourante. Le recours sera ainsi admis, le jugement attaqué annulé et la cause renvoyée à l'intimé pour suite de la procédure (art. 99 al. 1 et 2 LEI ; art. 85 al. 1 OASA ; art. 5 let. d de l'ordonnance du département fédéral de justice et police relative aux autorisations soumises à la procédure d'approbation et aux décisions préalables dans le domaine du droit des étrangers du 13 août 2015 - OA-DFJP - RS 142.201.1). Il convient néanmoins d'attirer l'attention de la recourante que, si une autorisation de séjour venait à lui être délivrée, il lui faudrait acquérir rapidement son indépendance financière, sans quoi elle encourrait la révocation de ladite autorisation sur la base des normes citées supra.</w:t>
      </w:r>
    </w:p>
    <w:p>
      <w:r>
        <w:rPr>
          <w:b/>
        </w:rPr>
        <w:t>E. 6</w:t>
      </w:r>
    </w:p>
    <w:p>
      <w:r>
        <w:t>Vu l'issue du litige, il ne sera pas perçu d'émolument (art. 87 al. 1 LPA), et une indemnité de procédure de CHF 1'500.- sera allouée à la recourante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