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ATA/511/2022 vom 17. Mai 2022</w:t>
      </w:r>
    </w:p>
    <w:p>
      <w:r>
        <w:t>GE Cour de justice, 2022-05-17, FR</w:t>
      </w:r>
    </w:p>
    <w:p>
      <w:r>
        <w:rPr>
          <w:b/>
        </w:rPr>
        <w:t xml:space="preserve">Quelle: </w:t>
      </w:r>
      <w:r>
        <w:t>https://mcp.opencaselaw.ch/entscheid/ge_gerichte_ATA_511_2022</w:t>
      </w:r>
    </w:p>
    <w:p>
      <w:r>
        <w:t>FR: GE_GERICHTE ATA/511/2022 du 17 mai 2022</w:t>
      </w:r>
    </w:p>
    <w:p>
      <w:r>
        <w:t>IT: GE_GERICHTE ATA/511/2022 del 17 maggio 2022</w:t>
      </w:r>
    </w:p>
    <w:p>
      <w:pPr>
        <w:pStyle w:val="Heading2"/>
      </w:pPr>
      <w:r>
        <w:t>Erwägungen</w:t>
      </w:r>
    </w:p>
    <w:p>
      <w:r>
        <w:rPr>
          <w:b/>
        </w:rPr>
        <w:t>E. 12</w:t>
      </w:r>
    </w:p>
    <w:p>
      <w:r>
        <w:t>septembre 1985 - LPA - E 5 10). 2)</w:t>
      </w:r>
    </w:p>
    <w:p>
      <w:r>
        <w:t>Le recourant sollicite son audition ainsi que celle de témoins, notamment son épouse.</w:t>
      </w:r>
    </w:p>
    <w:p>
      <w:r>
        <w:t>a. Tel qu'il est garanti par l'art. 29 al. 2 Cst., le droit d'être entendu comprend notamment le droit pour l'intéressé d'offrir des preuves pertinentes et d'obtenir qu'il y soit donné suite (ATF 132 II 485 consid. 3.2 ; 127 I 54 consid. 2b). Le droit d'être entendu n'implique pas le droit d'être entendu oralement, ni celui d'obtenir l'audition de témoins (ATF 134 I 140 consid. 5.3 ; 130 II 425 consid. 2.1).</w:t>
      </w:r>
    </w:p>
    <w:p>
      <w:r>
        <w:t>b. En l'espèce, le recourant a eu l'occasion d'exposer ses arguments et de produire des pièces, tant devant l'OCPM que le TAPI et la chambre de céans. Il a bénéficié de nombreux reports de délais pour ce faire. Il n'apparaît pas que son audition soit de nature à apporter d'autres éléments pertinents que ceux qu’il a déjà exposés par écrit ; il ne le soutient d'ailleurs pas. S’agissant de l’audition de son épouse, elle devrait servir à établir la durée de la vie commune afin de</w:t>
      </w:r>
    </w:p>
    <w:p>
      <w:r>
        <w:t>- 10/22 - A/688/2021 démontrer que celle-ci serait supérieure à trois ans. Cette audition n’est pas nécessaire compte tenu des considérants qui suivent. Pour le surplus, l’épouse ne pourrait être entendue qu’à titre de renseignement (art. 31 let. f LPA). Enfin, le recourant n’indique pas quels autres témoins il souhaiterait faire entendre ni ne précise sur quels faits pertinents l’audition serait nécessaire.</w:t>
      </w:r>
    </w:p>
    <w:p>
      <w:r>
        <w:t>Il ne sera donc pas donné suite aux actes d’instruction demandés.</w:t>
      </w:r>
    </w:p>
    <w:p>
      <w:r>
        <w:t>Dans ses écritures, le recourant a conclu, subsidiairement à l’audition de son épouse, à l’apport des procédures de mesures protectrices de l’union conjugale, de divorce et celle en cours auprès de la chambre des assurances sociales suite à l’accident de chantier.</w:t>
      </w:r>
    </w:p>
    <w:p>
      <w:r>
        <w:t>Il ne précise toutefois pas pour quels motifs l’apport des procédures civiles ou devant la chambre des assurances sociales serait utile pour l’issue du litige. Le fait qu’elles soient en cours n’est pas de nature à entraver la décision prise par l’OCPM. En effet, elles ne peuvent pas justifier la présence de l’intéressé en Suisse. En effet, si sa présence devait être indispensable, il lui serait loisible de solliciter un laissez-passer pour se présenter devant la juridiction concernée. 3)</w:t>
      </w:r>
    </w:p>
    <w:p>
      <w:r>
        <w:t>Le litige porte sur la conformité au droit du refus de prolonger l'autorisation de séjour du recourant, du refus d’autoriser le regroupement familial de ses deux fils et du prononcé du renvoi des trois intéressés de Suisse. 4)</w:t>
      </w:r>
    </w:p>
    <w:p>
      <w:r>
        <w:t>Le 1er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al. 1 LEI, les demandes déposées, comme en l'espèce, avant le 1er janvier 2019 sont régies par l'ancien droit (arrêt du Tribunal fédéral 2C_1075/2019 du 21 avril 2020 consid. 1.1). 5)</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Kosovo. 6)</w:t>
      </w:r>
    </w:p>
    <w:p>
      <w:r>
        <w:t>Aux termes de l'art. 42 al. 1 LEI, le conjoint étranger d’un ressortissant suisse a droit à l’octroi d’une autorisation de séjour et à la prolongation de sa durée de validité, à condition de vivre en ménage commun avec lui.</w:t>
      </w:r>
    </w:p>
    <w:p>
      <w:r>
        <w:t>Toutefois et compte tenu de la séparation du couple, les dispositions relatives à la dissolution de la famille s'appliquent à la situation juridique actuelle du recourant (art. 50 LEI et ss).</w:t>
      </w:r>
    </w:p>
    <w:p>
      <w:r>
        <w:t>- 11/22 - A/688/2021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w:t>
      </w:r>
    </w:p>
    <w:p>
      <w:r>
        <w:t>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w:t>
      </w:r>
    </w:p>
    <w:p>
      <w:r>
        <w:t>b. En l'espèce, les époux ont fait ménage commun du 21 juillet 2016, date de leur mariage, au 22 septembre 2017, date du départ de l’épouse pour Bâle. Ils ont repris la vie commune du 14 août 2018 au 19 juillet 2019, date du départ définitif de l’épouse pour la Suisse allemande. La durée de vie commune est ainsi établie pour une année et onze mois.</w:t>
      </w:r>
    </w:p>
    <w:p>
      <w:r>
        <w:t>Le recourant conteste ce fait.</w:t>
      </w:r>
    </w:p>
    <w:p>
      <w:r>
        <w:t>Dans son recours devant le TAPI du 22 février 2021, l’intéressé évoquait des « tentatives de reprendre la vie commune une nouvelle fois en 2019 et 2020 pendant plusieurs semaines ».</w:t>
      </w:r>
    </w:p>
    <w:p>
      <w:r>
        <w:t>Dans sa réplique du 4 juin 2021, il a indiqué que, conformément à sa lettre du 25 mai 2021, la vie commune avait repris. Il l’a confirmé par pli du 4 juin 2021, précisant qu’elle avait repris à compter du 15 juin 2020, date à laquelle son épouse avait été hospitalisée et cela pendant une durée indéterminée.</w:t>
      </w:r>
    </w:p>
    <w:p>
      <w:r>
        <w:t>Il sera toutefois relevé qu’aucune pièce du dossier ne fait mention d’une reprise de la vie commune. Contrairement aux précédentes actions de l’épouse qui avait dûment tenu informé l’OCPM de ses déplacements, aucun formulaire n’est parvenu à l’autorité intimée. Rien n’indique en conséquence qu’elle serait revenue à Genève.</w:t>
      </w:r>
    </w:p>
    <w:p>
      <w:r>
        <w:t>De même, tous les documents produits au dossier par le recourant mentionnent son adresse à Genève. Rien n’indique en conséquence qu’il se serait déplacé à Bâle, ce que confirme la scolarisation de ses deux enfants dans des établissements genevois.</w:t>
      </w:r>
    </w:p>
    <w:p>
      <w:r>
        <w:t>Le recourant ne donne par ailleurs ni pièce ni même d’information sur le lieu où la vie commune aurait repris, étant précisé que le déplacement de l’un des deux époux aurait dû entrainer le changement du lieu de vie soit d’F______ soit des deux fils du recourant. Rien de tel n'est même allégué. Il ressort des courriers</w:t>
      </w:r>
    </w:p>
    <w:p>
      <w:r>
        <w:t>- 12/22 - A/688/2021 de la curatrice d’F______ que l’exercice du droit de visite a régulièrement été prévu à Bâle.</w:t>
      </w:r>
    </w:p>
    <w:p>
      <w:r>
        <w:t>La réalité d’une reprise de vie commune, de surcroît dans le cadre d’une hospitalisation, apparaît contraire aux pièces du dossier.</w:t>
      </w:r>
    </w:p>
    <w:p>
      <w:r>
        <w:t>Aucune desdites pièces ne fait par ailleurs état d’une reprise de vie commune avec F______, âgée d’environ cinq ans.</w:t>
      </w:r>
    </w:p>
    <w:p>
      <w:r>
        <w:t>Enfin, même à retenir que le couple aurait repris la vie commune, l’intéressé évoquait quelques semaines. Or, pour atteindre le seuil les trois années, il s’agit de cinquante-six semaines manquantes, soit treize mois. C’est en conséquence à bon droit que le TAPI a considéré qu’en tous les cas la durée de trois ans ne serait pas atteinte.</w:t>
      </w:r>
    </w:p>
    <w:p>
      <w:r>
        <w:t>c. Il n'est pas nécessaire d'examiner la condition de la réussite de l'intégration lorsque l'union conjugale a duré moins de trois ans, les deux conditions étant cumulatives (arrêt du Tribunal fédéral 2C_352/2014 du 18 mars 2015 consid. 4 ; ATA/1091/2018 du 16 octobre 2018 consid. 5a).</w:t>
      </w:r>
    </w:p>
    <w:p>
      <w:r>
        <w:t>Le recourant ne peut en conséquence pas se prévaloir de l’art. 50 al. 1 let. a LEI. 8)</w:t>
      </w:r>
    </w:p>
    <w:p>
      <w:r>
        <w:t>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w:t>
      </w:r>
    </w:p>
    <w:p>
      <w:r>
        <w:t>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w:t>
      </w:r>
    </w:p>
    <w:p>
      <w:r>
        <w:t>- 13/22 - A/688/2021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 consid. 8.1 ; ATA/215/2020 du 25 février 2020 consid. 6a). 9) 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w:t>
      </w:r>
    </w:p>
    <w:p>
      <w:r>
        <w:t>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w:t>
      </w:r>
    </w:p>
    <w:p>
      <w:r>
        <w:t>- 14/22 - A/688/2021 personnelle majeure au sens de l'art. 50 LEI, même si ces conditions de vie sont moins avantageuses que celles dont cette personne bénéficie en Suisse (arrêt du Tribunal fédéral 2C_1188/2012 du 17 avril 2013 consid. 4.1).</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précité consid. 5.2).</w:t>
      </w:r>
    </w:p>
    <w:p>
      <w:r>
        <w:t>La question est ainsi de savoir si, en cas de retour dans le pays d'origine, les conditions de sa réintégration sociale, au regard de la situation personnelle, professionnelle et familiale de l'intéressé, seraient gravement compromises (ATA/353/2019 du 2 avril 2019 consid. 5d ; arrêts du Tribunal fédéral 2C_621/2015 précité consid. 5.2.1 ; 2C_369/2010 précité consid. 4.1).</w:t>
      </w:r>
    </w:p>
    <w:p>
      <w:r>
        <w:t>b. En l’espèce, le recourant allègue être arrivé en Suisse en 2015, soit il y a six ans. Il a obtenu un permis de séjour à la suite de son mariage. La vie commune avec son épouse a duré moins de trois ans. Il ne bénéficie pas d’une intégration particulière, notamment en termes de réseau quand bien même il allègue avoir de nombreux amis en Suisse, ne bénéficie pas de revenus et est dépendant, depuis de nombreuses années, de l’aide de l’hospice qui lui a versé plus de CHF 150'000.-. L’hospice est intervenu en sa faveur, régulièrement, dès le 1er juillet 2016, soit déjà avant son accident de chantier le 4 mai 2018. L’intéressé fait l’objet de poursuites et d’actes de défaut de biens. Il en avait ainsi déjà deux le 23 août 2018, selon un extrait de l’office concerné, pour des dettes de 2017, respectivement auprès des Hôpitaux universitaires de Genève et de l’assurance- maladie.</w:t>
      </w:r>
    </w:p>
    <w:p>
      <w:r>
        <w:t>Il ne peut pas être considéré que le recourant respecte l’ordre juridique suisse. Il est venu en Suisse en 2015, sans y être autorisé. Il y a séjourné illégalement jusqu’à son mariage. Il a fait venir illégalement ses enfants en 2019,</w:t>
      </w:r>
    </w:p>
    <w:p>
      <w:r>
        <w:t>- 15/22 - A/688/2021 sans attendre la réponse de l’OCPM à sa requête de regroupement familial, quand bien même il doit lui être concédé qu’il a plusieurs fois relancé, en vain, l’autorité intimée pour obtenir une réponse à sa demande. Il a fait l’objet de condamnations pénales, par ordonnance pénale du Ministère public pour violation de l’art. 115 al. 1 let. c LEI, pour avoir exercé une activité lucrative sans autorisation genevois, et pour avoir conduit sans permis (art. 91 al. 1 let. b LCR) selon une condamnation du Ministère public du canton de Bâle-ville du 4 février 2019.</w:t>
      </w:r>
    </w:p>
    <w:p>
      <w:r>
        <w:t>Selon les dernières décisions de justice figurant au dossier, le droit de visite dont il bénéficie sur sa fille de 5 ans se limite à trois heures trente par quinzaine à Bâle, soit des modalités inférieures à ce qui se pratique usuellement.</w:t>
      </w:r>
    </w:p>
    <w:p>
      <w:r>
        <w:t>Par ailleurs, les activités de peintre, évoquées au moment de l’accident de chantier, voire celle d’ouvrier non qualifié selon un contrat de travail de 2017 versé au dossier, ne sont pas constitutives d'une ascension professionnelle remarquable et ne l'ont pas conduit à acquérir des connaissances professionnelles spécifiques à la Suisse qu'il ne pourrait mettre à profit dans un autre pays, en particulier son pays d'origine. Il ne peut en conséquence pas se prévaloir d'une intégration professionnelle exceptionnelle au sens de la jurisprudence précitée.</w:t>
      </w:r>
    </w:p>
    <w:p>
      <w:r>
        <w:t>S'agissant de ses possibilités de réintégration dans son pays d'origine, le recourant, aujourd’hui âgé de 37 ans, est né au Kosovo, pays dont il parle la langue et où il a vécu son enfance, son adolescence et une partie de sa vie adulte, jusqu’à 30 ans. Il y a fondé une famille, avec la mère d’C______ et B______, avant de venir en Suisse. Il a donc passé dans ce pays les années déterminantes pour le développement de sa personnalité.</w:t>
      </w:r>
    </w:p>
    <w:p>
      <w:r>
        <w:t>Dans ces circonstances, il ne ressort pas du dossier que les difficultés auxquelles il devrait faire face en cas de retour au Kosovo seraient pour lui plus graves que pour la moyenne des étrangers, en particulier des ressortissants kosovars retournant dans leur pays.</w:t>
      </w:r>
    </w:p>
    <w:p>
      <w:r>
        <w:t>Au vu de ce qui précède, il ne se trouve pas dans une situation de détresse personnelle au sens de l'art. 50 al. 1 let. b LEI. S'il est vrai qu'un retour dans son pays d'origine pourra engendrer pour lui certaines difficultés, sa situation n'est pas remise en cause de manière accrue et il ne se trouve pas dans une situation si rigoureuse que l'on ne saurait exiger son retour au Kosovo.</w:t>
      </w:r>
    </w:p>
    <w:p>
      <w:r>
        <w:t>Il ne se justifie dès lors pas de déroger aux conditions d'admission en Suisse en sa faveur, de sorte que l'autorité intimée était fondée à refuser de donner une suite positive à sa demande de prolongation d'autorisation de séjour et l'instance précédente à confirmer ledit refus. 10) Le recourant se prévaut de la protection de la vie familiale au sens de l’art. 8 CEDH.</w:t>
      </w:r>
    </w:p>
    <w:p>
      <w:r>
        <w:t>- 16/22 - A/688/2021</w:t>
      </w:r>
    </w:p>
    <w:p>
      <w:r>
        <w:t>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w:t>
      </w:r>
    </w:p>
    <w:p>
      <w:r>
        <w:t>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11) a.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w:t>
      </w:r>
    </w:p>
    <w:p>
      <w:r>
        <w:t>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w:t>
      </w:r>
    </w:p>
    <w:p>
      <w:r>
        <w:t>- 17/22 - A/688/2021 parent est tombé de manière continue et dans une large mesure à la charge de l’assistance publique (arrêt du Tribunal fédéral 2C_792/2013 précité et les arrêts cités). 12) a.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à une vie familiale (cf. art. 8 par. 1 CEDH et 13 al. 1 Cst.),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et les arrêts cités). Ces exigences doivent être appréciées ensemble et faire l'objet d'une pesée des intérêts globale (ATF 144 I 91 consid. 5.2 sur chacune des conditions ; arrêts du Tribunal fédéral 2C_950/2017 du 16 mai 2018 consid. 4.1 et 2C_665/2017 du 9 janvier 2018 consid. 4.2.1 lorsque le parent n'a pas de droit de séjour préalable).</w:t>
      </w:r>
    </w:p>
    <w:p>
      <w:r>
        <w:t>b. Ce n'est que lorsque le parent étranger a l'autorité parentale et le droit de garde sur son enfant, et que cet enfant est de nationalité suisse, que les règles sont moins strictes (arrêt du Tribunal fédéral 2C_1009/2018 du 30 janvier 2019 consid. 3.4.2).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140 I 145 consid. 3.3 ; 137 I 247 consid. 4.2.1 et 4.2.2 ; 136 I 285 consid. 5.2 ; 135 I 153 consid. 2.2 ; arrêt du Tribunal fédéral 2C_1009/2018 précité consid. 3.4.2).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w:t>
      </w:r>
    </w:p>
    <w:p>
      <w:r>
        <w:t>- 18/22 - A/688/2021 revenir ultérieurement en Suisse (ATF 140 I 145 consid. 3.3 ; arrêt du Tribunal fédéral 2C_606/2013 du 4 avril 2014 consid. 5.3).</w:t>
      </w:r>
    </w:p>
    <w:p>
      <w:r>
        <w:t>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 13) En l’espèce, il est probable que le recourant ait l'autorité parentale conjointe sur sa fille, de nationalité suisse, aujourd’hui âgée de 5 ans. La garde de l’enfant a été attribuée à la mère. Il bénéficie d'un droit de visite de trois heures trente par quinzaine, conformément à la dernière ordonnance du Tribunal civil de Genève du 3 février 2022, entérinant le planning de la curatrice bâloise et rejetant la requête de mesures superprovisionnelles déposée par le père pour obtenir la garde de sa fille et subsidiairement un droit de visite usuel.</w:t>
      </w:r>
    </w:p>
    <w:p>
      <w:r>
        <w:t>Conformément à la jurisprudence citée plus haut, il y a lieu d'effectuer une pesée globale des intérêts tenant compte notamment des critères mentionnés par le Tribunal fédéral, à savoir des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de ce dernier.</w:t>
      </w:r>
    </w:p>
    <w:p>
      <w:r>
        <w:t>Le recourant ne fait plus ménage commun avec sa fille depuis 2019, sous réserve peut-être de quelques semaines perlées, où le couple aurait partagé un domicile, sans que cela ne soit nécessaire de l’établir avec plus de précisions. Le droit de visite dont il bénéficie est moindre que le droit usuel. Il est, par ailleurs, limité à trois heures trente par quinzaine. Il n’est pas allégué que les contacts seraient plus étroits. Ses relations avec sa fille ne peuvent donc pas être qualifiées d’étroites. Du point de vue économique, il émarge au budget de l'assistance</w:t>
      </w:r>
    </w:p>
    <w:p>
      <w:r>
        <w:t>- 19/22 - A/688/2021 publique et ne pourvoit donc pas à l'entretien de son enfant, si bien que l'on ne saurait parler de relations économiques étroites.</w:t>
      </w:r>
    </w:p>
    <w:p>
      <w:r>
        <w:t>S'agissant des possibilités pratiques de maintenir la relation en cas de retour du recourant dans son pays d'origine, il y a lieu de retenir qu'un tel maintien apparaît possible. Le recourant a régulièrement souhaité faire les voyages entre la Suisse et le Kosovo. Il pourra, par ailleurs, conserver des liens avec son enfant par le biais des moyens modernes de télécommunication. À ce titre, sa fille pourra aussi conserver des liens avec ses deux frères. Le recourant ne fait en effet qu’alléguer l’existence de liens dans la fratrie. Aucun élément du dossier ne permet de retenir que les trois enfants entretiennent des relations.</w:t>
      </w:r>
    </w:p>
    <w:p>
      <w:r>
        <w:t>Quant au comportement irréprochable du recourant, il découle des considérants qui précèdent que tel n’est pas le cas.</w:t>
      </w:r>
    </w:p>
    <w:p>
      <w:r>
        <w:t>En définitive, une pesée des intérêts globale laisse apparaître que la difficulté à maintenir des relations avec sa fille, en cas de renvoi, ne suffit de loin pas à contrebalancer la menace encore actuelle qu'il représente pour la sécurité et l'ordre publics suisses ainsi que, de manière plus importante, l'absence de relations économiques et surtout étroites entretenues avec son enfant.</w:t>
      </w:r>
    </w:p>
    <w:p>
      <w:r>
        <w:t>Il résulte de ce qui précède que les conditions d'un regroupement familial inversé, telles que prévues par la jurisprudence, ne sont pas données en ce qui concerne le recourant. Il apparaît dès lors que l’OCPM n’a ni excédé ni abusé de son pouvoir d’appréciation en refusant de renouveler son autorisation de séjour, si bien que le recours doit être rejeté. 14) Son autorisation de séjour n'étant pas renouvelée, sa demande de regroupement familial en faveur de ses enfants B______ et C______, résidant en Suisse depuis 2019 seulement, sera rejetée. 15)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b. En l'espèce, dès lors qu'il a, à juste titre, refusé l’octroi d’une autorisation de séjour au recourant et à ses enfants B______ et C______, l'intimé devait</w:t>
      </w:r>
    </w:p>
    <w:p>
      <w:r>
        <w:t>- 20/22 - A/688/2021 prononcer leur renvoi. Pour le surplus, aucun motif ne permet de retenir que l'exécution du renvoi ne serait pas possible, licite ou ne pourrait raisonnablement être exigée. Il n'existe pas, hormis les difficultés inhérentes à tout retour dans le pays d'origine après quelques années d'absence, de circonstances empêchant l'exécution de leur renvoi au Kosovo. Ils ne l’allèguent d’ailleurs pas.</w:t>
      </w:r>
    </w:p>
    <w:p>
      <w:r>
        <w:t>Au vu de ce qui précède, le recours sera rejeté. 16) Vu l’issue du litige, un émolument de CHF 400.-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