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ATA/511/2016 vom 14. Juni 2016</w:t>
      </w:r>
    </w:p>
    <w:p>
      <w:r>
        <w:t>GE Cour de justice, 2016-06-14, FR</w:t>
      </w:r>
    </w:p>
    <w:p>
      <w:r>
        <w:rPr>
          <w:b/>
        </w:rPr>
        <w:t xml:space="preserve">Quelle: </w:t>
      </w:r>
      <w:r>
        <w:t>https://mcp.opencaselaw.ch/entscheid/ge_gerichte_ATA_511_2016</w:t>
      </w:r>
    </w:p>
    <w:p>
      <w:r>
        <w:t>FR: GE_GERICHTE ATA/511/2016 du 14 juin 2016</w:t>
      </w:r>
    </w:p>
    <w:p>
      <w:r>
        <w:t>IT: GE_GERICHTE ATA/511/2016 del 14 giugno 2016</w:t>
      </w:r>
    </w:p>
    <w:p>
      <w:pPr>
        <w:pStyle w:val="Heading2"/>
      </w:pPr>
      <w:r>
        <w:t>Erwägungen</w:t>
      </w:r>
    </w:p>
    <w:p>
      <w:r>
        <w:rPr>
          <w:b/>
        </w:rPr>
        <w:t>E. 6</w:t>
      </w:r>
    </w:p>
    <w:p>
      <w:r>
        <w:t>Reste à examiner si les événements invoqués par le recourant dans ses écritures devaient être considérés par le doyen comme constitutifs d’une situation exceptionnelle, au sens de l'art. 58 al. 4 du statut.</w:t>
      </w:r>
    </w:p>
    <w:p>
      <w:r>
        <w:t>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(ATA/1336/2015 du 15 décembre 2015 consid. 5 ; ATA/863/2015 du 25 août 2015 consid. 6c ; ATA/977/2014 du 9 décembre 2014 consid. 5a ; ATA/348/2013 du 4 juin 2013 et les références citées).</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(ATA/863/2015 précité consid. 6c ; ATA/977/2014 précité consid. 5b et les références citées).</w:t>
      </w:r>
    </w:p>
    <w:p>
      <w:r>
        <w:t>- 10/12 - A/4536/2015</w:t>
      </w:r>
    </w:p>
    <w:p>
      <w:r>
        <w:t>En revanche, la CRUNI n’a pas retenu de circonstances exceptionnelles dans le cas d’une étudiante invoquant des problèmes de santé, mais n’ayant fourni aucune indication concernant la maladie et son impact sur le bon déroulement de ses études (ACOM/71/2005 du 22 novembre 2005). Elle en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(ATA/863/2015 précité consid. 6c ; ATA/977/2014 précité consid. 5c ; ACOM/75/2005 du 15 décembre 2005).</w:t>
      </w:r>
    </w:p>
    <w:p>
      <w:r>
        <w:t>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(ATA/348/2013 précité ; ATA/654/2012 précité ; ATA/424/2011 du 28 juin 2011).</w:t>
      </w:r>
    </w:p>
    <w:p>
      <w:r>
        <w:t>D’après la jurisprudence, un motif d’empêchement ne peut, en principe, être invoqué par le candidat qu’avant ou pendant l’examen (arrêt du Tribunal administratif fédéral B-6593/2013 du 7 août 2014 consid. 4.2 ; ATA/721/2014 du</w:t>
      </w:r>
    </w:p>
    <w:p>
      <w:r>
        <w:rPr>
          <w:b/>
        </w:rPr>
        <w:t>E. 9</w:t>
      </w:r>
    </w:p>
    <w:p>
      <w:r>
        <w:t>septembre 2014 et la référence citée).</w:t>
      </w:r>
    </w:p>
    <w:p>
      <w:r>
        <w:t>c. En l’espèce, le recourant ne fait qu’alléguer avoir rencontré des problèmes de logement et des problèmes financiers qui l’auraient empêché de consacrer du temps à ses études, plus précisément la perte de son logement, un déménagement en urgence et des dépenses pour son nouvel appartement d’une importance telle qu’elles l’auraient empêché de se rendre sur son lieu d’études, n’ayant plus la somme nécessaire pour s’acquitter des frais de transports publics.</w:t>
      </w:r>
    </w:p>
    <w:p>
      <w:r>
        <w:t>Sans remettre en cause la gravité de la situation du recourant, ces circonstances ont été invoquées tardivement. Elles sont de surcroît uniquement alléguées. Enfin, même si elles devaient être démontrées, elles ne rempliraient pas les conditions permettant de retenir une situation exceptionnelle, conformément aux exemples retenus par la jurisprudence.</w:t>
      </w:r>
    </w:p>
    <w:p>
      <w:r>
        <w:t>Le recourant ne peut dès lors être mis au bénéfice d’une dérogation. En refusant cette dernière, le doyen n’a pas mésusé de son pouvoir d’appréciation et a donc, à juste titre, rejeté l'opposition. 7.</w:t>
      </w:r>
    </w:p>
    <w:p>
      <w:r>
        <w:t>Le recours sera donc rejeté.</w:t>
      </w:r>
    </w:p>
    <w:p>
      <w:r>
        <w:t>Un émolument de CHF 400.- sera mis à charge du recourant, qui succombe (art. 87 al. 1 LPA), celui-ci n’ayant pas allégué qu’il serait exempté du paiement</w:t>
      </w:r>
    </w:p>
    <w:p>
      <w:r>
        <w:t>- 11/12 - A/4536/2015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