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ATA/511/2009 vom 13. Oktober 2009</w:t>
      </w:r>
    </w:p>
    <w:p>
      <w:r>
        <w:t>GE Cour de justice, 2009-10-13, FR</w:t>
      </w:r>
    </w:p>
    <w:p>
      <w:r>
        <w:rPr>
          <w:b/>
        </w:rPr>
        <w:t xml:space="preserve">Quelle: </w:t>
      </w:r>
      <w:r>
        <w:t>https://mcp.opencaselaw.ch/entscheid/ge_gerichte_ATA_511_2009</w:t>
      </w:r>
    </w:p>
    <w:p>
      <w:r>
        <w:t>FR: GE_GERICHTE ATA/511/2009 du 13 octobre 2009</w:t>
      </w:r>
    </w:p>
    <w:p>
      <w:r>
        <w:t>IT: GE_GERICHTE ATA/511/2009 del 13 ottobre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L’OCP a eu connaissance le 5 février 2008 de ce que le recourant était divorcé. Par conséquent, le refus de renouvellement de l’autorisation de séjour opposé subséquemment par cette autorité et qui est à la base du litige est entièrement saisi par la LEtr entrée en vigueur le 1er janvier 2008.</w:t>
      </w:r>
    </w:p>
    <w:p>
      <w:r>
        <w:rPr>
          <w:b/>
        </w:rPr>
        <w:t>E. 3</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w:t>
      </w:r>
    </w:p>
    <w:p>
      <w:r>
        <w:t>En l’espèce, le recourant ne cohabite plus avec sa femme depuis le 2 octobre 2004 et le divorce a été prononcé le 29 mars 2007. Par conséquent, le recourant ne peut pas se prévaloir d’un droit à une autorisation de séjour sur la base de l’art. 42 al. 1 LEtr.</w:t>
      </w:r>
    </w:p>
    <w:p>
      <w:r>
        <w:rPr>
          <w:b/>
        </w:rPr>
        <w:t>E. 4</w:t>
      </w:r>
    </w:p>
    <w:p>
      <w:r>
        <w:t>Aux termes de l’art. 50 al. 1 LEtr, après dissolution de la famille, le droit du conjoint et des enfants à l’octroi d’une autorisation de séjour et à la prolongation de sa durée de validité en vertu des art. 42 et 43 subsiste dans les cas suivants :</w:t>
      </w:r>
    </w:p>
    <w:p>
      <w:r>
        <w:t>a. l’union conjugale a duré au moins trois ans et l’intégration est réussie ;</w:t>
      </w:r>
    </w:p>
    <w:p>
      <w:r>
        <w:t>b la poursuite du séjour en Suisse s’impose pour des raisons personnelles majeures.</w:t>
      </w:r>
    </w:p>
    <w:p>
      <w:r>
        <w:t>L’union conjugale au sens de la let. a de la disposition légale précitée suppose l’existence d’une communauté conjugale effectivement vécue (Arrêt du Tribunal fédéral 2C_416/2009 du 8 septembre 2009, consid. 2.1.2 ; Directive de l’office fédéral des migrations (ODM), domaine des étrangers, 6 regroupement familial, chiffre 6.15.1 p. 27).</w:t>
      </w:r>
    </w:p>
    <w:p>
      <w:r>
        <w:t>En l’espèce, si la durée du mariage du recourant est supérieure à trois ans, la communauté conjugale n’a duré que quelques quinze mois de sorte que le recourant ne peut déduire aucun droit de l’art. 50 al. 1 let. a LEtr.</w:t>
      </w:r>
    </w:p>
    <w:p>
      <w:r>
        <w:rPr>
          <w:b/>
        </w:rPr>
        <w:t>E. 5</w:t>
      </w:r>
    </w:p>
    <w:p>
      <w:r>
        <w:t>Le recourant cherche à déduire un droit de séjour de la durée de sa présence et de sa bonne intégration sociale et professionnelle en Suisse. Or, le mariage</w:t>
      </w:r>
    </w:p>
    <w:p>
      <w:r>
        <w:t>- 5/7 - A/2930/2008 ayant duré moins de trois ans, la let. a de l’art. 50 al. 1 LEtr n’est pas applicable (Arrêt du Tribunal fédéral 2C_720/2008 du 14 janvier 2009).</w:t>
      </w:r>
    </w:p>
    <w:p>
      <w:r>
        <w:t>Pour le surplus, les faits allégués par le recourant ne sont pas contestés par l’autorité intimée, qui relève au surplus que le recourant est aujourd’hui âgé de trente-six ans et qu’il a passé la majeure partie de sa vie dans son pays qu’il a quitté qu’à l’âge de vingt-sept ans seulement. Cela étant, l’art. 50 al. 2 LEtr - repris à l’art. 77 al. 2 de l’ordonnance du 24 octobre 2007 relative à l’admission, au séjour et à l’exercice d’une activité lucrative (OASA - RS 142.201) - précise qu’il existe des raisons majeures imposant la poursuite du séjour en Suisse notamment lorsque la réintégration sociale dans le pays de provenance semble fortement compromise. D’après le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Les circonstances du cas d’espèce ne permettent pas d’admettre que la réinsertion familiale et sociale du recourant au Maroc s’avèrent particulièrement difficiles.</w:t>
      </w:r>
    </w:p>
    <w:p>
      <w:r>
        <w:rPr>
          <w:b/>
        </w:rPr>
        <w:t>E. 6</w:t>
      </w:r>
    </w:p>
    <w:p>
      <w:r>
        <w:t>Au vu de ce qui précède, le recours sera rejeté. Un émolument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