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ATA/510/2013 vom 27. August 2013</w:t>
      </w:r>
    </w:p>
    <w:p>
      <w:r>
        <w:t>GE Cour de justice, 2013-08-27, FR</w:t>
      </w:r>
    </w:p>
    <w:p>
      <w:r>
        <w:rPr>
          <w:b/>
        </w:rPr>
        <w:t xml:space="preserve">Quelle: </w:t>
      </w:r>
      <w:r>
        <w:t>https://mcp.opencaselaw.ch/entscheid/ge_gerichte_ATA_510_2013</w:t>
      </w:r>
    </w:p>
    <w:p>
      <w:r>
        <w:t>FR: GE_GERICHTE ATA/510/2013 du 27 août 2013</w:t>
      </w:r>
    </w:p>
    <w:p>
      <w:r>
        <w:t>IT: GE_GERICHTE ATA/510/2013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139 al. 1 LCI, lorsqu’une construction ou une installation édifiée sans autorisation n’est pas conforme aux prescriptions légales, le Conseil d’Etat peut la laisser subsister, à titre précaire, si elle ne nuit pas à la sécurité, à la salubrité ni à l’esthétique, moyennant le paiement, en plus de l’amende, d’une redevance annuelle dont il fixe le montant et la durée selon la gravité de l’infraction.</w:t>
      </w:r>
    </w:p>
    <w:p>
      <w:r>
        <w:t>b. Le maintien à titre précaire d'une installation ou d'une construction non conforme constitue une autorisation exceptionnelle. L'autorité saisie d'une telle demande devra statuer selon sa libre appréciation. De telles autorisations, qui dérogent au régime généralement applicable, sont de nature discrétionnaire et les conditions légales qui leur sont applicables s'interprètent restrictivement (ATA/292/2004 du 6 avril 2004 et les références citées).</w:t>
      </w:r>
    </w:p>
    <w:p>
      <w:r>
        <w:rPr>
          <w:b/>
        </w:rPr>
        <w:t>E. 3</w:t>
      </w:r>
    </w:p>
    <w:p>
      <w:r>
        <w:t>a. Le Tribunal fédéral a été amené à examiner la régularité d'une autorisation de maintien à titre précaire d'installations érigées sans autorisation hors de la zone à bâtir. Il a estimé que lorsque l'autorité octroyait une telle autorisation selon l'art. 139 al. 1 LCI, sa décision avait pratiquement pour effet d'accorder une dérogation hors de la zone à bâtir selon les art. 24 ss LAT. Dans le cas qui lui était soumis, le Tribunal fédéral a examiné si les conditions d'une dérogation étaient remplies, et il a conclu par la négative. En admettant le contraire, la juridiction cantonale avait donné à l'art. 139 al. 1 LCI une portée autonome, incompatible avec le droit fédéral et précisément avec la LAT.</w:t>
      </w:r>
    </w:p>
    <w:p>
      <w:r>
        <w:t>b. Alors que l'art. 24 LAT règle les exceptions prévues hors de la zone à bâtir et que dans ce domaine, les dispositions cantonales n'ont plus de portée propre, les exceptions prévues à l'intérieur de la zone à bâtir sont l'affaire des cantons (art. 23 LAT ; ATA/52/2005 du 1er février 2005).</w:t>
      </w:r>
    </w:p>
    <w:p>
      <w:r>
        <w:t>c. Ainsi, dans la mesure où il ne porte pas sur des restrictions apportées au droit de propriété, sur des constructions hors des zones à bâtir ou sur des demandes de dérogation prévues aux art. 24 à 24d LAT (art. 34 al. 1 LAT), l'art. 139 LCI possède une portée propre et s'applique.</w:t>
      </w:r>
    </w:p>
    <w:p>
      <w:r>
        <w:rPr>
          <w:b/>
        </w:rPr>
        <w:t>E. 4</w:t>
      </w:r>
    </w:p>
    <w:p>
      <w:r>
        <w:t>Dans un arrêt ancien, rendu en application de l'ancien art. 298 LCI devenu depuis lors l'art. 139 LCI, le Tribunal fédéral a jugé que cette disposition légale</w:t>
      </w:r>
    </w:p>
    <w:p>
      <w:r>
        <w:t>- 5/7 - Erreur ! Nom de propriété de document inconnu. doit permettre d'assouplir les exigences de la loi lorsque, dans un cas particulier, son application stricte se révélerait contraire à l'intérêt public, ou porterait une atteinte excessive aux intérêts d'un propriétaire, sans que l'intérêt public ou l'intérêt des voisins le justifie. Cette disposition donne ainsi à l'autorité exécutive la latitude de s'incliner devant le fait accompli et d'accorder par un acte de souveraineté une dérogation générale quant à la nature des constructions, sans passer par l'enquête publique, comme le prévoit l'art. 16 LCI. A cette occasion, le Conseil d'Etat genevois doit examiner la question de savoir si la construction ne nuit pas à la sécurité, à la salubrité ou à l'esthétique. Il est donc tenu d'appliquer une notion juridique imprécise à une situation concrète dépendant, dans une large mesure, des circonstances locales. En pareil cas, le Tribunal fédéral n'intervient qu'avec réserve et ne casse une décision que si l'autorité cantonale a manifestement abusé de son pouvoir d'appréciation (ATF 100 Ia 340, 99 Ia 149/150 consid. 4; ATF D. et F. du 24 janvier 1979; ATA/52/2005 du 1er février 2005).</w:t>
      </w:r>
    </w:p>
    <w:p>
      <w:r>
        <w:t>Le Tribunal fédéral a de plus relevé le pouvoir discrétionnaire qui compète à l'autorité exécutive en application de cette disposition légale. Il a rappelé que, lorsqu'un texte utilise le mot peut - comme en l'espèce - il s'agit fréquemment d'une Kann-vorschrift qui implique la faculté d'opter entre deux ou plusieurs solutions, c'est-à-dire une véritable liberté d'appréciation, liberté qui n'est jamais absolue et dont l'exercice, lorsqu'il dépasse certaines bornes, est contraire à l'ordre juridique (ATF D. et F. du 24 janvier 1979 et les ref. citées).</w:t>
      </w:r>
    </w:p>
    <w:p>
      <w:r>
        <w:rPr>
          <w:b/>
        </w:rPr>
        <w:t>E. 5</w:t>
      </w:r>
    </w:p>
    <w:p>
      <w:r>
        <w:t>Dans l'arrêté litigieux, le Conseil d’État n’a pas procédé à l’examen des conditions de l’article 139 LCI, faisant uniquement référence à un arrêt du Tribunal fédéral concernant les constructions sises en dehors de la zone à bâtir.</w:t>
      </w:r>
    </w:p>
    <w:p>
      <w:r>
        <w:t>Il résulte du texte même de cette disposition qu’il ne s’agit pas tant de déterminer si la construction litigieuse peut être admise ou non en fonction des motifs à l’origine de sa réalisation que de savoir si elle peut être maintenue à titre précaire : la construction peut subsister pour autant qu’elle ne nuise pas à la sécurité, à la salubrité ou à l’esthétique.</w:t>
      </w:r>
    </w:p>
    <w:p>
      <w:r>
        <w:rPr>
          <w:b/>
        </w:rPr>
        <w:t>E. 6</w:t>
      </w:r>
    </w:p>
    <w:p>
      <w:r>
        <w:t>En l'espèce, la chambre administrative a déjà constaté l’illégalité de la palissade érigée par les recourants (ATA/773/2010 précité). Lors du transport sur place, elle a pu se rendre compte que son aspect esthétique était quelconque. Malgré cela, elle constitue un cloisonnement que le législateur a voulu éviter en édictant l'art. 70 LCI.</w:t>
      </w:r>
    </w:p>
    <w:p>
      <w:r>
        <w:t>Dans ces circonstances, le conseil d'Etat n'a pas abusé de son pouvoir d'appréciation – malgré l'imprécision de sa motivation - en refusant que cette installation soit maintenue à titre précaire.</w:t>
      </w:r>
    </w:p>
    <w:p>
      <w:r>
        <w:rPr>
          <w:b/>
        </w:rPr>
        <w:t>E. 7</w:t>
      </w:r>
    </w:p>
    <w:p>
      <w:r>
        <w:t>Le principe de l'égalité de traitement, déduit de l'art. 8 Cst. n'est violé que si des situations essentiellement semblables sont traitées différemment ou si des situations présentant des différences essentielles sont traitées de manière identique</w:t>
      </w:r>
    </w:p>
    <w:p>
      <w:r>
        <w:t>- 6/7 - Erreur ! Nom de propriété de document inconnu. (ATF 108 Ia 114 ss consid. 2b et 2d ; ATA/282/2006 du 23 mai 2006 ; ATA/194/2004 précité).</w:t>
      </w:r>
    </w:p>
    <w:p>
      <w:r>
        <w:t>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115 Ia 93 ; Arrêt du Tribunal fédéral 2C_442/2012 du 14 décembre 2012 ; ATA/282/2006 précité).</w:t>
      </w:r>
    </w:p>
    <w:p>
      <w:r>
        <w:t>En l'espèce, selon les constatations faites lors du transport sur place, certaines des clôtures existantes dans les alentours sont doublées par des matériaux légers et peu durables. Elles ne peuvent être comparées à celle édifiée par les recourants, qui perdurerait, si elle était maintenue, pendant de très longues années.</w:t>
      </w:r>
    </w:p>
    <w:p>
      <w:r>
        <w:rPr>
          <w:b/>
        </w:rPr>
        <w:t>E. 8</w:t>
      </w:r>
    </w:p>
    <w:p>
      <w:r>
        <w:t>Au vu de ce qui précède, le recours sera rejeté et l'arrêté litigieux sera confirmé.</w:t>
      </w:r>
    </w:p>
    <w:p>
      <w:r>
        <w:t>Un émolument de CHF 500.- sera mis à la charge des recourants. Il ne leur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