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ATA/508/2022 vom 17. Mai 2022</w:t>
      </w:r>
    </w:p>
    <w:p>
      <w:r>
        <w:t>GE Cour de justice, 2022-05-17, FR</w:t>
      </w:r>
    </w:p>
    <w:p>
      <w:r>
        <w:rPr>
          <w:b/>
        </w:rPr>
        <w:t xml:space="preserve">Quelle: </w:t>
      </w:r>
      <w:r>
        <w:t>https://mcp.opencaselaw.ch/entscheid/ge_gerichte_ATA_508_2022</w:t>
      </w:r>
    </w:p>
    <w:p>
      <w:r>
        <w:t>FR: GE_GERICHTE ATA/508/2022 du 17 mai 2022</w:t>
      </w:r>
    </w:p>
    <w:p>
      <w:r>
        <w:t>IT: GE_GERICHTE ATA/508/2022 del 17 maggio 2022</w:t>
      </w:r>
    </w:p>
    <w:p>
      <w:pPr>
        <w:pStyle w:val="Heading2"/>
      </w:pPr>
      <w:r>
        <w:t>Erwägungen</w:t>
      </w:r>
    </w:p>
    <w:p>
      <w:r>
        <w:rPr>
          <w:b/>
        </w:rPr>
        <w:t>E. 30</w:t>
      </w:r>
    </w:p>
    <w:p>
      <w:r>
        <w:t>août 2021. Le délai de cinq ans est en conséquence largement respecté.</w:t>
      </w:r>
    </w:p>
    <w:p>
      <w:r>
        <w:t>- 20/26 - A/3320/2021</w:t>
      </w:r>
    </w:p>
    <w:p>
      <w:r>
        <w:t>La sanction disciplinaire n’est pas prescrite. 11) a. 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2ème éd., 2018, n. 880).</w:t>
      </w:r>
    </w:p>
    <w:p>
      <w:r>
        <w:t>b. La décision d’ouverture de l’enquête administrative (art. 27 al. 2 LPAC) est de la compétence du CA.</w:t>
      </w:r>
    </w:p>
    <w:p>
      <w:r>
        <w:t>c. En l’espèce, la décision d’ouverture de l’enquête administrative a été prise par le président du CA à titre provisionnel, avec indication des voie et délai de recours, puis ratifiée par le CA. Même à retenir les dates de la décision du CA (15 octobre 2015, date la plus favorable au recourant, quand bien même la date de la séance était soit le 3 juillet, soit plus probablement le 31 août 2015), en lieu et place de celle prise par le président du CA, la sanction disciplinaire n’est pas prescrite. 12) Le recourant se plaint d’une violation du principe de la maxime inquisitoire.</w:t>
      </w:r>
    </w:p>
    <w:p>
      <w:r>
        <w:t>a. La procédure administrative est régie par la maxime inquisitoire, selon laquelle l’autorité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1er septembre 2020 consid. 4a et les références citées).</w:t>
      </w:r>
    </w:p>
    <w:p>
      <w:r>
        <w:t>b. En l’espèce, l’enquête administrative a été ouverte le 22 juin 2015. La première audition du recourant par l’enquêteur s’est tenue le 9 juillet 2015. Malgré le dépôt d’une plainte pénale par les HUG, le 17 juillet 2015, l’enquêteur a poursuivi ses auditions les 25, 26 et 27 août 2015 avant que le président du CA des HUG décide, le 18 septembre 2015, de suspendre l’enquête administrative.</w:t>
      </w:r>
    </w:p>
    <w:p>
      <w:r>
        <w:t>L’instruction pénale a duré environ trois ans. Une expertise financière a été nécessaire pour contribuer à établir les faits. Le jugement du Tribunal</w:t>
      </w:r>
    </w:p>
    <w:p>
      <w:r>
        <w:t>- 21/26 - A/3320/2021 correctionnel est intervenu le 21 décembre 2018, l’arrêt de la CPAR le 26 mai 2020 et celui du Tribunal fédéral le 22 décembre 2020. La procédure pénale s’est donc étendue pendant quelque cinq années et demi. Le jugement et les arrêts sont fouillés.</w:t>
      </w:r>
    </w:p>
    <w:p>
      <w:r>
        <w:t>Le recourant admet lui-même que « durant ces quelques six années, d’innombrables actes d’instruction ont été accomplis (auditions de témoins, de personnes appelées à donner des renseignements et des parties, une expertise judiciaire, plusieurs audiences de jugement etc.), de toutes aussi nombreuses et volumineuses pièces ont été versées au dossier et de multiples faits ont été passés en revue. Devant ce véritable maelstrom d’informations, de documents et de faits, les HUG ne pouvaient pas se contenter de renvoyer, qui plus est de manière parfaitement sibylline, à la procédure pénale ».</w:t>
      </w:r>
    </w:p>
    <w:p>
      <w:r>
        <w:t>L’enquêteur administratif a remis son rapport environ un mois après la reprise de l’enquête. C’est en conséquence, au total, environ quatre mois qu’il aura consacrés à cette activité. Au vu de l’importance de la procédure pénale, de la condamnation du recourant pour gestion déloyale à l’encontre des HUG, à une peine privative de liberté de deux ans, avec sursis durant deux ans et, conjointement et solidairement avec M. D______, à payer aux HUG la somme de CHF 20'460'487.- avec intérêts, à titre de réparation du dommage matériel, il n’était pas nécessaire que l’enquêteur administratif établisse davantage les faits pertinents. Ceux-ci ont été établis dans le cadre de la procédure pénale et ressortent des arrêts de la CPAR et du Tribunal fédéral.</w:t>
      </w:r>
    </w:p>
    <w:p>
      <w:r>
        <w:t>Le recourant reproche à l’enquêteur d’avoir mentionné dans son rapport les faits tels qu’il les avait lui-même constatés en août 2015 et de ne pas les avoir actualisés. Ce reproche tombe à faux. Dans ses prises de position, l’enquêteur « constate » notamment que M. A______ a été condamné par arrêt du 26 mai 2020 par la CPAR pour gestion déloyale et que le recours au Tribunal fédéral de l’intéressé a été rejeté le 22 décembre 2020. Il relève que l’arrêt confirme ses propres constatations et considère que les manquements sont établis et constituent une faute grave. L’enquêteur confirme également qu’au vu de l’établissement des faits retenus par la CPAR et de la qualification juridique de gestion déloyale, son mandat peut être clôturé. Ainsi, si certes l’enquêteur détaille les constats auxquels il était arrivé en 2015, il ne peut pas être reproché une violation du principe de la maxime inquisitoire compte tenu du soin mis par les autorités pénales à établir les faits de façon complète et de la durée de la procédure pénale. La gravité de la condamnation pénale et l’importance de la somme due, conjointement et solidairement, par le recourant à titre de réparation du dommage matériel encouru par son ancien employeur, justifie une sanction disciplinaire, sans qu’il ne soit nécessaire d’approfondir l’enquête disciplinaire. Aussi, le fait que l’enquêteur retienne que le recourant a mis en place une comptabilisation net des honoraires de M. D______ alors que cela aurait été écarté par l’expertise comptable, qu’il</w:t>
      </w:r>
    </w:p>
    <w:p>
      <w:r>
        <w:t>- 22/26 - A/3320/2021 persiste à lui reprocher le non-respect de règles en matière de marchés publics alors que la procédure pénale aurait permis d’établir qu’il s’agissait d’une volonté des HUG, voire même que « le recouvrement assurance » était inutile, mais que l’intéressé aurait pu démontrer dans le cas de la procédure pénale sa nécessité est sans incidence pertinente et déterminante sur l’issue du présent litige. Le grief est rejeté. 13) Le recourant se plaint d’une violation de l’art. 14 al. 2 LPA. L’enquêteur avait tenu pour établis des faits expressément écartés par les instances pénales et n’avait pas pris en considération des faits qui avaient été démontrés comme étant établis dans ce contexte.</w:t>
      </w:r>
    </w:p>
    <w:p>
      <w:r>
        <w:t>a. Les autorités administratives et les juridictions administratives saisies d'une question préjudicielle sont toutefois liées par les décisions de l'organe compétent qui l'ont résolue avec force de chose jugée (art. 14 al. 2 LPA).</w:t>
      </w:r>
    </w:p>
    <w:p>
      <w:r>
        <w:t>b L’argumentation du recourant paraît difficilement compréhensible. Il ne précise pas quelle était la question préjudicielle. À considérer qu’il s’agisse de son éventuelle culpabilité dans le cas de la procédure pénale, celle-ci a été retenue par l’enquêteur administratif qui s’est référé à la condamnation pénale. Il n’est pas nécessaire, en application de l’art. 14 al. 2 LPA, de reprendre le détail les différents constats faits respectivement par l’enquêteur administratif ou/et par la CPAR en matière de comptabilité et de chercher à détailler sur quels points éventuels leur constat différerait, étant rappelé qu’il s’agirait de se pencher sur les différents types de factures, qu’il s’agisse des sommations, des notes d’honoraires, du contentieux ou des commissions de performance, ou de la problématique des forfaits au temps. Une telle analyse n’est pas nécessaire pour l’issue de la présente procédure compte tenu de la condamnation pénale de l’intéressé.</w:t>
      </w:r>
    </w:p>
    <w:p>
      <w:r>
        <w:t>De même, le recourant ne peut valablement soutenir qu’il n’aurait pas compris, après sa condamnation pénale, les reproches formulés par son employeur, quand bien même le fait que l’enquêteur ait maintenu dans son rapport ses conclusions de l’époque sur quelques trente pages, alors même qu’une procédure pénale d’envergure, postérieure aux constats de l’enquêteur, a permis d’établir avec précision les faits reprochés, ne contribue effectivement pas à la simplification du dossier.</w:t>
      </w:r>
    </w:p>
    <w:p>
      <w:r>
        <w:t>Le grief est infondé. 14) Le recourant se plaint d’une violation de l’art. 16 LPAC. Il invoque ne pas avoir compris les griefs formulés à son encontre et, par voie de conséquence, ne pas être apte à analyser si leur gravité pouvait justifier une révocation, de surcroît avec effet rétroactif.</w:t>
      </w:r>
    </w:p>
    <w:p>
      <w:r>
        <w:t>- 23/26 - A/3320/2021</w:t>
      </w:r>
    </w:p>
    <w:p>
      <w:r>
        <w:t>En l’espèce, le recourant a été reconnu coupable de gestion déloyale à l’encontre de son employeur et de lui avoir causé, conjointement avec un tiers, un dommage matériel de plus de vingt millions de francs. Le Tribunal fédéral a confirmé l’arrêt de la CPAR, lequel relevait que la faute du recourant était « assurément lourde. Durant une très longue période de sept ans et demi (2008 à mi- 2015), il a[vait] par ses actes de gestion agit au détriment des intérêts de son employeur, établissement public, et partant, en définitive, de la collectivité, alors qu’il avait, en sa qualité de responsable puis chef du service des comptabilités, la tâche d’organiser le recouvrement au mieux desdits intérêts. Ce faisant, il a[vait] trahi la confiance de son employeur et abusé de ses prérogatives, se concentrant exclusivement sur l’objectif d’encaissement, au détriment de la question, pourtant essentielle, du coût. Dans ce contexte, il avait tiré parti des défaillances internes et fait obstruction aux quelques tentatives, il [était] vrai molles, à tout le moins de la part de ses supérieurs, d’identifier ladite charge. […] La volonté délictuelle était intense, l’intéressé ayant eu à tout moment le moyen de mettre fin à ses agissements, ce qu’il n’a[vait] pas fait. Au contraire, […] il a[vait] agi de manière répétée et systématique, notamment se rendant personnellement et quasiment toutes les semaines chez son co-prévenu, gardant ainsi la maîtrise du système mis en place. En définitive, seule l’action parallèle et coordonnée de l’audit interne et de la Cour des comptes a[vait] posé un terme à ces agissements » (arrêt CPAR précité consid. 8.3).</w:t>
      </w:r>
    </w:p>
    <w:p>
      <w:r>
        <w:t>À l’évidence, un tel comportement est constitutif d’une faute excessivement grave justifiant la sanction la plus lourde, avec effet rétroactif. Si être reconnu coupable de gestion déloyale à l’encontre d’un employeur à hauteur de vingt millions de francs ne devait pas remplir les conditions de la plus grave des sanctions envisagées par la LPAC, on peine à envisager quel comportement fautif pourrait y correspondre. S’il est exact que le recourant n’avait jamais fait l’objet d’une sanction disciplinaire au préalable ni l’objet de reproches, la gravité de la faute justifie la révocation avec effet rétroactif sans violer le principe de la proportionnalité, étant rappelé que le recourant était haut cadre de l’administration cantonale et qu’à ce titre un devoir de diligence accrue et d’exemplarité était attendu de sa part.</w:t>
      </w:r>
    </w:p>
    <w:p>
      <w:r>
        <w:t>Le grief est infondé. 15) Les conclusions du recourant en paiement d’une indemnité seront en conséquence rejetées compte tenu de ce qui précède.</w:t>
      </w:r>
    </w:p>
    <w:p>
      <w:r>
        <w:t>Les considérants qui précèdent conduisent au rejet du recours. 16) Vu l'issue du litige, un émolument de CHF 2’000.- sera mis à la charge du recourant, qui succombe (art. 87 al. 1 LPA), et aucune indemnité de procédure ne sera allouée (art. 87 al. 2 LPA).</w:t>
      </w:r>
    </w:p>
    <w:p>
      <w:r>
        <w:t>- 24/26 - A/3320/2021</w:t>
      </w:r>
    </w:p>
    <w:p>
      <w:r>
        <w:t>* * * * *</w:t>
      </w:r>
    </w:p>
    <w:p>
      <w:r>
        <w:t>- 25/26 - A/3320/2021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