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ATA/503/2016 vom 14. Juni 2016</w:t>
      </w:r>
    </w:p>
    <w:p>
      <w:r>
        <w:t>GE Cour de justice, 2016-06-14, FR</w:t>
      </w:r>
    </w:p>
    <w:p>
      <w:r>
        <w:rPr>
          <w:b/>
        </w:rPr>
        <w:t xml:space="preserve">Quelle: </w:t>
      </w:r>
      <w:r>
        <w:t>https://mcp.opencaselaw.ch/entscheid/ge_gerichte_ATA_503_2016</w:t>
      </w:r>
    </w:p>
    <w:p>
      <w:r>
        <w:t>FR: GE_GERICHTE ATA/503/2016 du 14 juin 2016</w:t>
      </w:r>
    </w:p>
    <w:p>
      <w:r>
        <w:t>IT: GE_GERICHTE ATA/503/2016 del 14 giugno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rPr>
          <w:b/>
        </w:rPr>
        <w:t>E. 3</w:t>
      </w:r>
    </w:p>
    <w:p>
      <w:r>
        <w:t>L’objet du litige consiste à déterminer si le TAPI était fondé à confirmer la décision prise le 22 juillet 2014 par l’OCPM, révoquant l'autorisation de séjour du recourant, après sa séparation d’avec son épouse de nationalité suisse.</w:t>
      </w:r>
    </w:p>
    <w:p>
      <w:r>
        <w:rPr>
          <w:b/>
        </w:rPr>
        <w:t>E. 4</w:t>
      </w:r>
    </w:p>
    <w:p>
      <w:r>
        <w:t>Le droit d’être entendu garanti par l’art. 29 al. 2 de la Constitution fédérale de la Confédération suisse du 18 avril 1999 (Cst. - RS 101) implique notamment pour l’autorité l’obligation de motiver sa décision. Il suffit toutefois que l’autorité, ou le juge,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136 I 229 consid. 5.2). La motivation peut pour le reste être implicite et résulter des différents considérants</w:t>
      </w:r>
    </w:p>
    <w:p>
      <w:r>
        <w:t>- 7/14 - A/2775/2014 de la décision (arrêts du Tribunal fédéral 6B_970/2013 du 24 juin 2014 consid. 3.1 ; 6B_1193/2013 du 11 février 2014 consid. 1.2).</w:t>
      </w:r>
    </w:p>
    <w:p>
      <w:r>
        <w:rPr>
          <w:b/>
        </w:rPr>
        <w:t>E. 5</w:t>
      </w:r>
    </w:p>
    <w:p>
      <w:r>
        <w:t>En l’occurrence, contrairement à ce que fait valoir le recourant, le TAPI a expliqué pourquoi l’art. 49 LEtr ne s’appliquait pas à son cas, de sorte qu’une violation de son droit d’être entendu ne saurait entrer en considération.</w:t>
      </w:r>
    </w:p>
    <w:p>
      <w:r>
        <w:rPr>
          <w:b/>
        </w:rPr>
        <w:t>E. 6</w:t>
      </w:r>
    </w:p>
    <w:p>
      <w:r>
        <w:t>a. Aux termes de l’art. 50 al. 1 let. a LEtr, après la dissolution de la famille, le droit du conjoint à l'octroi d'une autorisation de séjour et à la prolongation de sa durée de validité en vertu des art. 42 et 43 LEtr subsiste si l'union conjugale a duré au moins trois ans et que l'intégration est réussie.</w:t>
      </w:r>
    </w:p>
    <w:p>
      <w:r>
        <w:t>Le délai de trois ans prévu par cette disposition se calcule en fonction de la durée pendant laquelle les époux ont fait ménage commun en Suisse (ATF 136 II 113 consid. 3.3.5 ; arrêt du Tribunal fédéral 2C_1111/2015 du 9 mai 2016 consid. 4.1). La cohabitation des intéressés avant leur mariage ne peut être prise en compte dans la durée de l’union conjugale (arrêts du Tribunal fédéral 2C_594/2010 du 24 novembre 2010 consid. 3.1 ; 2C_195/2010 du 23 juin 2010 consid. 5.1). La durée de trois ans vaut de façon absolue, quand bien même la fin de la vie conjugale serait intervenue quelques jours ou semaines seulement avant l'expiration du délai (arrêt du Tribunal fédéral 2C_1111/2015 précité consid. 4.1). La notion d'union conjugale de l'art. 50 al. 1 let. a LEtr ne se confond pas avec celle du mariage. Alors que celui-ci peut n'être plus que formel, l'union conjugale implique une vie conjugale effective, sous réserve des exceptions mentionnées à l'art. 49 LEtr (ATF 137 II 345 consid. 3.1.2 ; 136 II 113 consid. 3.2 ; arrêt du Tribunal fédéral 2C_1111/2015 précité consid. 4.1). Elle ne se confond pas non plus avec la notion de la seule cohabitation mais implique une volonté matrimoniale commune de la part des époux. À cet égard, la période durant laquelle les conjoints continuent provisoirement à cohabiter en attendant de pouvoir se constituer deux domiciles séparés ne peut pas être prise en compte dans le calcul de trois ans de l'art. 50 al. 1 let. a LEtr, faute de vie conjugale effective (arrêt du Tribunal fédéral 2C_1111/2015 précité consid. 4.1).</w:t>
      </w:r>
    </w:p>
    <w:p>
      <w:r>
        <w:t>En résumé, la période minimale de trois ans de l'union conjugale commence à courir dès le début de la cohabitation effective des époux en Suisse et s'achève au moment où ceux-ci cessent de faire ménage commun (ATF 140 II 345 consid. 4.1 ; 138 II 229 consid. 2 ; 136 II 113 consid. 3.3.3).</w:t>
      </w:r>
    </w:p>
    <w:p>
      <w:r>
        <w:t>Il n'est pas nécessaire que la vie commune des époux en Suisse ait eu lieu d'une seule traite (ATF 140 II 345 consid. 4.1). Sous réserve d'un éventuel abus de droit, la jurisprudence admet que plusieurs périodes de vie commune en Suisse, même de courte durée et/ou qui sont interrompues par des temps de séparation prolongée, puissent être additionnées en vue de satisfaire à la condition de la durée minimum de l'union conjugale (art. 50 al. 1 let. a LEtr), à condition que les</w:t>
      </w:r>
    </w:p>
    <w:p>
      <w:r>
        <w:t>- 8/14 - A/2775/2014 époux soient véritablement et sérieusement déterminés à poursuivre leur communauté conjugale (ATF 140 II 345 consid. 4.5.2 ; 140 II 289 consid. 3.5.1).</w:t>
      </w:r>
    </w:p>
    <w:p>
      <w:r>
        <w:t>b. En vertu de l'art. 49 LEtr, l'exigence du ménage commun prévue aux art. 42 à 44 n'est pas applicable lorsque la communauté familiale est maintenue et que des raisons majeures justifiant l'existence de domiciles séparés peuvent être invoquées.</w:t>
      </w:r>
    </w:p>
    <w:p>
      <w:r>
        <w:t>Selon l’art. 76 OASA, une exception à l’exigence du ménage commun (art. 49 LEtr) peut résulter de raisons majeures dues, notamment, à des obligations professionnelles ou à une séparation provisoire en raison de problèmes familiaux importants.</w:t>
      </w:r>
    </w:p>
    <w:p>
      <w:r>
        <w:t>La dérogation au principe du ménage commun pour raisons majeures suppose que la communauté familiale soit effectivement maintenue, conformément aux art. 42 ss LEtr. Cela signifie que l'autorisation de séjour qui a été octroyée en application de l'art. 49 LEtr perdrait tout fondement en cas de dissolution (subséquente) de l'union conjugale, de sorte à pouvoir, le cas échéant, être révoquée en cours de validité. Savoir si tout ou partie de la période dérogatoire admise selon l'art. 49 LEtr doit être prise en compte dans la durée prévue à l'art. 50 al. 1 let. a LEtr ne dépend ainsi pas tant de la durée formelle de l'autorisation de séjour qui est délivrée conformément à l'art. 49 LEtr, mais du maintien effectif du lien conjugal durant ladite période (ATF 140 II 345 consid. 4.4.1).</w:t>
      </w:r>
    </w:p>
    <w:p>
      <w:r>
        <w:t>La séparation due à une crise conjugale ne doit pas durer plus de quelques mois (arrêts du Tribunal fédéral 2C_1111/2015 précité consid. 4.3 ; 2C_712/2014 du 12 juin 2015 consid. 2.3). L’étranger ne saurait invoquer l’art. 49 LEtr, dès lors que la séparation des époux n'a aucunement présenté un caractère provisoire, mais qu'elle était définitive. En tout état de cause, pour pouvoir se prévaloir de l'art. 49 LEtr en raison d'une séparation due à une crise conjugale, encore faut-il que l'union conjugale soit maintenue, malgré les quelques mois de séparation (arrêt du Tribunal fédéral 2C_1111/2015 précité consid. 4.3 ; ATF 140 II 345 consid. 4.4.1).</w:t>
      </w:r>
    </w:p>
    <w:p>
      <w:r>
        <w:t>Au surplus, la vague possibilité d’une reprise un jour de la vie commune ne peut pas être assimilée au maintien d’une communauté conjugale (arrêt du Tribunal fédéral 2C_1027/2012 du 20 décembre 2012 consid. 3.3). Lorsque les époux ne font pas ménage commun, sans motif pertinent au plan juridique et sans que des liens étroits soient manifestes, il convient de partir du principe que la volonté de poursuivre leur communauté conjugale est éteinte du point de vue du droit des étrangers (arrêt du Tribunal fédéral 2C_638/2014 du 10 novembre 2014 consid. 3.1).</w:t>
      </w:r>
    </w:p>
    <w:p>
      <w:r>
        <w:t>- 9/14 - A/2775/2014</w:t>
      </w:r>
    </w:p>
    <w:p>
      <w:r>
        <w:t>Enfin, seules des situations exceptionnelles sont visées par l’art. 49 LEtr. En présence de telles circonstances, l'on peut admettre, pour autant que le dossier de la cause ne contienne pas d'indices contraires, que la communauté conjugale est maintenue et qu'ainsi l'autre condition posée par l'art. 49 LEtr est réalisée. Les problèmes familiaux importants peuvent constituer un cas de raisons majeures. Ils doivent cependant provenir de situations particulièrement difficiles, telles que les violences domestiques. De manière générale, il appartient à l'étranger d'établir l'existence de la communauté conjugale en dépit des domiciles séparés. Cela vaut d'autant plus que cette situation s'est prolongée dans le temps, car une séparation d'une certaine durée fait présumer que la communauté conjugale a cessé d'exister (arrêt du Tribunal fédéral 2C_500/2014 du 18 juillet 2014 consid. 6.2).</w:t>
      </w:r>
    </w:p>
    <w:p>
      <w:r>
        <w:t>c. Les deux conditions de l’art. 50 al. 1 let. a LEtr étant cumulatives (ATF 140 II 289 consid. 3.5.3 ; 136 II 113 consid. 3.3.3), il n’est pas nécessaire d’examiner la condition de la réussite de l’intégration lorsque l’union conjugale a duré moins de trois ans.</w:t>
      </w:r>
    </w:p>
    <w:p>
      <w:r>
        <w:rPr>
          <w:b/>
        </w:rPr>
        <w:t>E. 7</w:t>
      </w:r>
    </w:p>
    <w:p>
      <w:r>
        <w:t>a. En l’espèce, il est incontesté que le recourant et son épouse n’ont plus jamais fait ménage commun depuis le départ de celle-ci du domicile conjugal le</w:t>
      </w:r>
    </w:p>
    <w:p>
      <w:r>
        <w:rPr>
          <w:b/>
        </w:rPr>
        <w:t>E. 8</w:t>
      </w:r>
    </w:p>
    <w:p>
      <w:r>
        <w:t>a. En vertu de l’art. 50 al. 1 let. b LEtr, le droit à une autorisation de séjour subsiste après la dissolution de la famille également si la poursuite du séjour en Suisse s'impose pour des raisons personnelles majeures.</w:t>
      </w:r>
    </w:p>
    <w:p>
      <w:r>
        <w:t>L’art. 50 al. 2 LEtr (dont le contenu est repris par l’art. 77 al. 2 OASA) précise que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w:t>
      </w:r>
    </w:p>
    <w:p>
      <w:r>
        <w:t>b. L’art. 50 al. 1 let. b LEtr a pour vocation d’éviter les cas de rigueur ou d’extrême gravité (ATF 137 II 1 consid. 3.1 ; arrêts du Tribunal fédéral 2C_500/2014 du 18 juillet 2014 consid. 7.1 ; 2C_165/2014 du 18 juillet 2014 consid. 3.1 ; 2C_220/2014 du 4 juillet 2014 consid. 2.3 ; ATA/403/2015 précité consid. 7a).</w:t>
      </w:r>
    </w:p>
    <w:p>
      <w:r>
        <w:t>Selon la jurisprudence du Tribunal fédéral, l'énumération de ces cas n'est pas exhaustive et laisse aux autorités une certaine liberté d'appréciation fondée sur des motifs humanitaires (ATF 136 II 1 consid. 5.3).</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w:t>
      </w:r>
    </w:p>
    <w:p>
      <w:r>
        <w:t>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w:t>
      </w:r>
    </w:p>
    <w:p>
      <w:r>
        <w:t>- 11/14 - A/2775/2014 considérable (ATF 137 I 1 consid. 4.1 ; 137 II 345 consid. 3.2.1 à 3.2.3 ; ATA/403/2015 précité ; ATA/514/2014 du 1er juillet 2014 ; ATA/843/2012 du 18 décembre 2012).</w:t>
      </w:r>
    </w:p>
    <w:p>
      <w:r>
        <w:t>c. Comme il s’agit de cas de rigueur survenant à la suite de la dissolution de la famille, en relation avec l’autorisation de séjour découlant du mariage, les raisons qui ont conduit à la rupture de l’union conjugale revêtent par conséquent de l’importance (ATA/403/2015 précité consid. 7 ; ATA/674/2014 du 26 août 2014 ; ATA/514/2014 précité).</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ATA/292/2015 du 24 mars 2015 consid. 4c).</w:t>
      </w:r>
    </w:p>
    <w:p>
      <w:r>
        <w:t>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ATA/235/2015 du 3 mars 2015 consid. 11a).</w:t>
      </w:r>
    </w:p>
    <w:p>
      <w:r>
        <w:rPr>
          <w:b/>
        </w:rPr>
        <w:t>E. 9</w:t>
      </w:r>
    </w:p>
    <w:p>
      <w:r>
        <w:t>Dans son recours devant le TAPI, le recourant a déduit une intégration réussie de l’absence de poursuites ou d’acte de défaut de biens ainsi que d’infractions inscrites au casier judiciaire, de même que du fait de ne jamais avoir émargé à l’aide sociale et d’être au bénéfice d’un contrat de travail de durée indéterminée. Dans son recours devant la chambre de céans, il reprend cette argumentation. Cela étant, il ne s’est pas prévalu de raisons personnelles majeures qui imposeraient la poursuite de son séjour en Suisse, question que le TAPI n’a du reste pas non plus examinée.</w:t>
      </w:r>
    </w:p>
    <w:p>
      <w:r>
        <w:t>- 12/14 - A/2775/2014</w:t>
      </w:r>
    </w:p>
    <w:p>
      <w:r>
        <w:t>Quoi qu’il en soit, des raisons personnelles majeures au sens de l’art. 50 al. 1 let. b LEtr ne ressortent pas du dossier. En effet, l’intéressé n’invoque ni des préjudices liés à son mariage, ni des liens particuliers avec la Suisse, plus précisément le canton de Genève. Son intégration professionnelle dans ce canton, certes méritoire, n’est pas d’une intensité particulière. Hormis son frère qui habite le canton de Genève, sa famille vit dans son pays d’origine, où sa réintégration n’apparaît pas compromise et où il pourra utiliser ses compétences professionnelles acquises en Suisse.</w:t>
      </w:r>
    </w:p>
    <w:p>
      <w:r>
        <w:rPr>
          <w:b/>
        </w:rPr>
        <w:t>E. 10</w:t>
      </w:r>
    </w:p>
    <w:p>
      <w:r>
        <w:t>C’est en conséquence sans excès ni abus de son pouvoir d’appréciation que l’OCPM a refusé de prolonger l’autorisation de séjour du recourant et prononcé son renvoi en application de l’art. 64 al. 1 let. c LEtr.</w:t>
      </w:r>
    </w:p>
    <w:p>
      <w:r>
        <w:rPr>
          <w:b/>
        </w:rPr>
        <w:t>E. 11</w:t>
      </w:r>
    </w:p>
    <w:p>
      <w:r>
        <w:t>Enfin, le recourant ne fait pas valoir et il ne ressort pas du dossier que l’exécution de son renvoi serait impossible, illicite ou inexigible (art. 83 al. 1 à 4 LEtr). Ce qui a été énoncé plus haut en relation avec sa réintégration au Kosovo vaut ici aussi.</w:t>
      </w:r>
    </w:p>
    <w:p>
      <w:r>
        <w:rPr>
          <w:b/>
        </w:rPr>
        <w:t>E. 12</w:t>
      </w:r>
    </w:p>
    <w:p>
      <w:r>
        <w:t>Vu ce qui précède, la décision de l’OCPM du 22 juillet 2014 et le jugement querellé du TAPI sont conformes au droit, de sorte que le recours sera rejeté.</w:t>
      </w:r>
    </w:p>
    <w:p>
      <w:r>
        <w:t>Vu l’issue du litige, un émolument de CHF 400.-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