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ATA/503/2014 vom 1. Juli 2014</w:t>
      </w:r>
    </w:p>
    <w:p>
      <w:r>
        <w:t>GE Cour de justice, 2014-07-01, FR</w:t>
      </w:r>
    </w:p>
    <w:p>
      <w:r>
        <w:rPr>
          <w:b/>
        </w:rPr>
        <w:t xml:space="preserve">Quelle: </w:t>
      </w:r>
      <w:r>
        <w:t>https://mcp.opencaselaw.ch/entscheid/ge_gerichte_ATA_503_2014</w:t>
      </w:r>
    </w:p>
    <w:p>
      <w:r>
        <w:t>FR: GE_GERICHTE ATA/503/2014 du 1 juillet 2014</w:t>
      </w:r>
    </w:p>
    <w:p>
      <w:r>
        <w:t>IT: GE_GERICHTE ATA/503/2014 del 1 luglio 2014</w:t>
      </w:r>
    </w:p>
    <w:p>
      <w:pPr>
        <w:pStyle w:val="Heading2"/>
      </w:pPr>
      <w:r>
        <w:t>Erwägungen</w:t>
      </w:r>
    </w:p>
    <w:p>
      <w:r>
        <w:rPr>
          <w:b/>
        </w:rPr>
        <w:t>E. 12</w:t>
      </w:r>
    </w:p>
    <w:p>
      <w:r>
        <w:t>juin 1997 (L-AIMP - L 6 05.0), ainsi qu’à la loi sur la procédure administrative du 12 septembre 1985 (LPA - E 5 10). 2)</w:t>
      </w:r>
    </w:p>
    <w:p>
      <w:r>
        <w:t>Il convient d’abord d’examiner la recevabilité du présent recours.</w:t>
      </w:r>
    </w:p>
    <w:p>
      <w:r>
        <w:t>a. En vertu des art. 15 al. 1 let. d et 2 AIMP, 3 al. 1 L-AIMP et 56 RMP, le recours est adressé à la chambre administrative dans les dix jours dès la notification de la décision. Interjeté en temps utile devant la juridiction compétente, le recours est recevable de ces points de vue.</w:t>
      </w:r>
    </w:p>
    <w:p>
      <w:r>
        <w:t>b. Le soumissionnaire évincé a qualité pour recourir contre une décision d’exclusion (art. 15 al. 1bis let. d AIMP et 55 let. c RMP).</w:t>
      </w:r>
    </w:p>
    <w:p>
      <w:r>
        <w:t>- 4/7 - A/3729/2013</w:t>
      </w:r>
    </w:p>
    <w:p>
      <w:r>
        <w:t>En l’espèce, le contrat ayant été conclu avec un autre adjudicataire (art. 46 RMP), il convient de se demander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limitée aux dépenses qu’il a subies en relation avec les procédures de soumissions et de recours (art. 3 al. 3 L-AIMP).</w:t>
      </w:r>
    </w:p>
    <w:p>
      <w:r>
        <w:t>En tant que soumissionnaire exclue, bien que le contrat ait été déjà conclu, la recourante conserve un intérêt actuel à recourir contre la décision d’adjudication au sens de l’art. 60 let. b LPA, son recours étant à même d’ouvrir ses droits à une indemnisation (ATF 125 II 86 consid. 5b). Elle dispose donc de la qualité pour recourir. 3)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(ATA/511/2013 du 27 août 2013 ; ATA/401/2013 du 25 juin 2013 ; ATA/102/2012 du 21 février 2012 ; ATA/1/2007 du 9 janvier 2007 ; ATA/775/2005 du 15 novembre 2005 et la jurisprudence citée).</w:t>
      </w:r>
    </w:p>
    <w:p>
      <w:r>
        <w:t>c. L’exigence de motivation de l’art. 65 al. 2 LPA a pour but de permettre à la juridiction administrative de déterminer l’objet du litige qui lui est soumis et de donner l’occasion à la partie intimée de répondre aux griefs formulés à son encontre (ATA/102/2012 ; ATA/1/2007 ; ATA775/2005 précités ; ATA/179/2001 du 13 mars 2001). Elle signifie que le recourant doit expliquer en quoi et pourquoi il s’en prend à la décision litigieuse (ATA/401/2013 précité ; ATA/23/2006 du</w:t>
      </w:r>
    </w:p>
    <w:p>
      <w:r>
        <w:rPr>
          <w:b/>
        </w:rPr>
        <w:t>E. 17</w:t>
      </w:r>
    </w:p>
    <w:p>
      <w:r>
        <w:t>janvier 2006).</w:t>
      </w:r>
    </w:p>
    <w:p>
      <w:r>
        <w:t>d. En l’espèce, l’acte de recours permet de comprendre que la recourante demande l’annulation de la décision d'exclusion. L’acte de recours comporte une motivation succincte mais suffisante, d’autant plus que la recourante agit en personne. Le recours est par conséquent recevable sur ce point.</w:t>
      </w:r>
    </w:p>
    <w:p>
      <w:r>
        <w:t>- 5/7 - A/3729/2013</w:t>
      </w:r>
    </w:p>
    <w:p>
      <w:r>
        <w:t>e. Par conséquent, toutes les conditions énumérées ci-dessus étant remplies, le recours est recevable. 4) a. L'AIMP ne contient pas de disposition sur le respect du délai de dépôt des offres.</w:t>
      </w:r>
    </w:p>
    <w:p>
      <w:r>
        <w:t>b. À teneur de l'art. 42 al. 1 let. a RMP, l'offre est écartée d'office lorsque le soumissionnaire a rendu une offre tardive, incomplète ou non-conforme aux exigences ou au cahier des charges.</w:t>
      </w:r>
    </w:p>
    <w:p>
      <w:r>
        <w:t>c. La juridiction de céans a déjà jugé qu'un fonctionnaire chargé de l'ouverture des offres lors d'un marché public n'avait pas respecté le principe d'égalité de traitement et favorisé certains concurrents en retardant délibérément l'heure de dépôt des offres, fixée à 9h15 ; il aurait ainsi dû écarter les offres parvenues en mains de l'autorité adjudicatrice après 9h15, selon les règles que celle-ci avait elle-même posées, et en tous les cas après 9h30 (ATA/10/2009 du 13 janvier 2009 consid. 6). 5)</w:t>
      </w:r>
    </w:p>
    <w:p>
      <w:r>
        <w:t>En l'espèce, il n'est pas contesté que la recourante a remis son offre avec une heure trois quarts de retard par rapport au dernier délai fixé dans l'appel d'offres. La sanction attachée à un tel retard, à savoir l'exclusion du soumissionnaire, était du reste dûment énoncée dans l'appel d'offres.</w:t>
      </w:r>
    </w:p>
    <w:p>
      <w:r>
        <w:t>Ni la réglementation ni la jurisprudence ne prévoient enfin de faits justificatifs ; il appartient ainsi aux entreprises soumissionnaires de s'organiser de manière à pouvoir rendre leur offre dans le délai. Vu en outre l'importance dudit retard, ni le principe de la proportionnalité ni celui de l'interdiction du formalisme excessif ne commandaient d'accepter l'offre, si bien que la décision d'exclusion apparaît parfaitement conforme au droit. 6)</w:t>
      </w:r>
    </w:p>
    <w:p>
      <w:r>
        <w:t>Le recours sera en conséquence rejeté. 7)</w:t>
      </w:r>
    </w:p>
    <w:p>
      <w:r>
        <w:t>Vu l'issue du litige, un émolument de CHF 1'000.- sera mis à la charge de la recourante (art. 87 al. 1 LPA), et aucune indemnité de procédure ne lui sera allouée (art. 87 al. 2 LPA).</w:t>
      </w:r>
    </w:p>
    <w:p>
      <w:r>
        <w:t>* * * * *</w:t>
      </w:r>
    </w:p>
    <w:p>
      <w:r>
        <w:t>- 6/7 - A/3729/2013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