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ATA/503/2007 vom 9. Oktober 2007</w:t>
      </w:r>
    </w:p>
    <w:p>
      <w:r>
        <w:t>GE Cour de justice, 2007-10-09, FR</w:t>
      </w:r>
    </w:p>
    <w:p>
      <w:r>
        <w:rPr>
          <w:b/>
        </w:rPr>
        <w:t xml:space="preserve">Quelle: </w:t>
      </w:r>
      <w:r>
        <w:t>https://mcp.opencaselaw.ch/entscheid/ge_gerichte_ATA_503_2007</w:t>
      </w:r>
    </w:p>
    <w:p>
      <w:r>
        <w:t>FR: GE_GERICHTE ATA/503/2007 du 9 octobre 2007</w:t>
      </w:r>
    </w:p>
    <w:p>
      <w:r>
        <w:t>IT: GE_GERICHTE ATA/503/2007 del 9 ottobre 2007</w:t>
      </w:r>
    </w:p>
    <w:p>
      <w:pPr>
        <w:pStyle w:val="Heading2"/>
      </w:pPr>
      <w:r>
        <w:t>Regeste</w:t>
      </w:r>
    </w:p>
    <w:p>
      <w:r>
        <w:t>Résumé: Refus de mettre une fondation au bénéfice d'une exonération fiscale. Le but d'utilité publique et en particulier la condition de désintéressement n'étant pas remplie en raison de ses liens économiques avec une secte.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 ; art. 53 de la loi de procédure fiscale du 4 octobre 2001 - LPFisc - D 3 17).</w:t>
      </w:r>
    </w:p>
    <w:p>
      <w:r>
        <w:rPr>
          <w:b/>
        </w:rPr>
        <w:t>E. 2</w:t>
      </w:r>
    </w:p>
    <w:p>
      <w:r>
        <w:t>Tel qu’il est garanti par l’article 29 alinéa 2 Cst., le droit d’être entendu comprend notamment le droit pour l’intéressé d’offrir des preuves pertinentes, de prendre connaissance du dossier, d’obtenir qu’il soit donné suite à ses offres de</w:t>
      </w:r>
    </w:p>
    <w:p>
      <w:r>
        <w:t>- 13/18 - A/1350/2006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Le tribunal ne donnera pas suite à la demande d’audition des deux témoins que les parties souhaitaient faire entendre, car une telle mesure ne lui aurait pas permis d’aboutir à une solution différente.</w:t>
      </w:r>
    </w:p>
    <w:p>
      <w:r>
        <w:rPr>
          <w:b/>
        </w:rPr>
        <w:t>E. 3</w:t>
      </w:r>
    </w:p>
    <w:p>
      <w:r>
        <w:t>L'objet du recours porte sur la question de savoir si la recourante poursuit des buts de service public ou d’utilité publique qui lui permettraient de bénéficier d’une exonération fiscale en application de l’article 9 alinéa 1 lettre f LIPM.</w:t>
      </w:r>
    </w:p>
    <w:p>
      <w:r>
        <w:t>Au terme de cette disposition, les personnes morales qui poursuivent des buts de service public ou d’utilité publique, sont exonérées de l’impôt sur le bénéfice et le capital exclusivement et irrévocablement affectés à ces buts. En principe, des buts économiques ne peuvent être considérés comme étant d’intérêt public.</w:t>
      </w:r>
    </w:p>
    <w:p>
      <w:r>
        <w:t>Selon le Mémorial du Grand Conseil, les conditions permettant de conclure à l’existence d’un but d’utilité publique sont la poursuite, de manière désintéressée, d’un but d’intérêt général, l’absence de buts lucratifs ou d’assistance mutuelle, l’utilisation des fonds de manière exclusive et irrévocable à la poursuite du but d’intérêt général, ainsi que l’exercice d’une activité effective, par opposition à une activité limitée, par exemple, à la thésaurisation du produit de placements effectués. L’existence de buts économiques et de fondations holding ne sera toutefois pas prohibé de manière absolue, dans la mesure où il s’agira toujours d’une subordination au but d’utilité publique, sans intervention active dans la conduite des affaires auxquelles l’institution est intéressée (MGC 1994 34/IV 3867).</w:t>
      </w:r>
    </w:p>
    <w:p>
      <w:r>
        <w:t>Le texte légal cantonal étant pratiquement identique à la disposition correspondante en droit fédéral, soit l’article 56 lettre g LIFD, il y a lieu de se référer à la jurisprudence et à la doctrine relative à ce dernier.</w:t>
      </w:r>
    </w:p>
    <w:p>
      <w:r>
        <w:t>- 14/18 - A/1350/2006</w:t>
      </w:r>
    </w:p>
    <w:p>
      <w:r>
        <w:rPr>
          <w:b/>
        </w:rPr>
        <w:t>E. 4</w:t>
      </w:r>
    </w:p>
    <w:p>
      <w:r>
        <w:t>a.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 ATF 121 IV 64 consid. 3 p. 66 ; ATA/763/2002 du 3 décembre 2002, consid. 5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w:t>
      </w:r>
    </w:p>
    <w:p>
      <w:r>
        <w:t>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w:t>
      </w:r>
    </w:p>
    <w:p>
      <w:r>
        <w:t>b. Selon la circulaire n° 12 de l’administration fédérale des contributions du</w:t>
      </w:r>
    </w:p>
    <w:p>
      <w:r>
        <w:rPr>
          <w:b/>
        </w:rPr>
        <w:t>E. 8</w:t>
      </w:r>
    </w:p>
    <w:p>
      <w:r>
        <w:t>Mal fondé, le recours sera donc rejeté et la décision attaquée confirmée.</w:t>
      </w:r>
    </w:p>
    <w:p>
      <w:r>
        <w:t>Vu l'issue du litige, un émolument de CHF 2'500.- sera mis à la charge de la recourante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