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ATA/502/2018 vom 22. Mai 2018</w:t>
      </w:r>
    </w:p>
    <w:p>
      <w:r>
        <w:t>GE Cour de justice, 2018-05-22, FR</w:t>
      </w:r>
    </w:p>
    <w:p>
      <w:r>
        <w:rPr>
          <w:b/>
        </w:rPr>
        <w:t xml:space="preserve">Quelle: </w:t>
      </w:r>
      <w:r>
        <w:t>https://mcp.opencaselaw.ch/entscheid/ge_gerichte_ATA_502_2018</w:t>
      </w:r>
    </w:p>
    <w:p>
      <w:r>
        <w:t>FR: GE_GERICHTE ATA/502/2018 du 22 mai 2018</w:t>
      </w:r>
    </w:p>
    <w:p>
      <w:r>
        <w:t>IT: GE_GERICHTE ATA/502/2018 del 22 maggio 2018</w:t>
      </w:r>
    </w:p>
    <w:p>
      <w:pPr>
        <w:pStyle w:val="Heading2"/>
      </w:pPr>
      <w:r>
        <w:t>Erwägungen</w:t>
      </w:r>
    </w:p>
    <w:p>
      <w:r>
        <w:rPr>
          <w:b/>
        </w:rPr>
        <w:t>E. 12</w:t>
      </w:r>
    </w:p>
    <w:p>
      <w:r>
        <w:t>septembre 1985 - LPA - E 5 10). 2) 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ATA/759/2012 du 6 novembre 2012).</w:t>
      </w:r>
    </w:p>
    <w:p>
      <w:r>
        <w:t>c. Un intérêt digne de protection suppose un intérêt actuel à obtenir l’annulation de la décision attaquée (ATF 135 I 79 consid. 1 ; 128 II 34 consid. 1b). L’existence d’un intérêt actuel s’apprécie non seulement au moment du dépôt du recours, mais aussi lors du prononcé de la décision sur recours ; s’il s’éteint pendant la procédure, le recours, devenu sans objet, doit être simplement radié du rôle (ATF 125 V 373 consid. 1 ; 118 Ib 1 consid. 2 ; arrêt du Tribunal fédéral 1C_76/2009 du 30 avril 2009 consid. 2) ou déclaré irrecevable (ATF 123 II 285 consid. 4 ; arrêt du Tribunal fédéral 1C_69/2007 du 11 juin 2007 consid. 2.3).</w:t>
      </w:r>
    </w:p>
    <w:p>
      <w:r>
        <w:t>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 131 II 361 consid. 1.2 ; 128 II 34 ; ATA/418/2012 du 3 juillet 2012 consid. 2d).</w:t>
      </w:r>
    </w:p>
    <w:p>
      <w:r>
        <w:t>e. En l’espèce, le recourant dispose d'un intérêt digne de protection à recourir contre la sanction prononcée à son encontre, la légalité devant pouvoir faire l’objet d’un contrôle en vertu de la jurisprudence du Tribunal fédéral précitée, nonobstant l’absence d’intérêt actuel, dans la mesure où cette situation pourrait encore se présenter (ATA/591/2014 du 29 juillet 2014 consid. 2 ; ATA/183/2013 du 19 mars 2013 et la jurisprudence citée).</w:t>
      </w:r>
    </w:p>
    <w:p>
      <w:r>
        <w:t>Le recours est donc recevable à tous points de vue. 3)</w:t>
      </w:r>
    </w:p>
    <w:p>
      <w:r>
        <w:t>Le droit disciplinaire est un ensemble de sanctions dont l'autorité dispose à l'égard d'une collectivité déterminée de personnes, soumises à un statut spécial ou qui, tenues par un régime particulier d'obligations, sont l'objet d'une surveillance</w:t>
      </w:r>
    </w:p>
    <w:p>
      <w:r>
        <w:t>- 4/6 - A/837/2018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 4)</w:t>
      </w:r>
    </w:p>
    <w:p>
      <w:r>
        <w:t>Le statut des personnes incarcérées à la prison est régi par le règlement sur le régime intérieur de la prison et le statut des personnes incarcérées du 30 septembre 1985 (RRIP - F 1 50.04 ; art. 1 al. 3 de la loi sur l’organisation et le personnel de la prison du 21 juin 1984 - LOPP - F 1 50).</w:t>
      </w:r>
    </w:p>
    <w:p>
      <w:r>
        <w:t>Un détenu doit respecter les dispositions du RRIP, les instructions du directeur de l’office pénitentiaire et les ordres du directeur et des fonctionnaires de la prison (art. 42 RRIP). Il doit en toutes circonstances adopter une attitude correcte à l’égard du personnel de la prison, des autres personnes incarcérées et des tiers (art. 44 RRIP), et n’a d’aucune façon le droit de troubler l’ordre et la tranquillité de la prison (art. 45 let. h RRIP).</w:t>
      </w:r>
    </w:p>
    <w:p>
      <w:r>
        <w:t>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 À teneur de l’art. 47 al. 3 RRIP, le directeur est compétent pour prononcer, notamment, le placement en cellule forte pour dix jours au plus (let. g). 5)</w:t>
      </w:r>
    </w:p>
    <w:p>
      <w:r>
        <w:t>De jurisprudence constante, la chambre de céans accorde généralement une pleine valeur probante aux constatations figurant dans un rapport de police, établi par des agents assermentés (ATA/99/2014 précité), sauf si des éléments permettent de s’en écarter. Dès lors que les agents de détention sont également des fonctionnaires assermentés (art. 7 LOPP), le même raisonnement peut être appliqué aux rapports établis par ces derniers. 6)</w:t>
      </w:r>
    </w:p>
    <w:p>
      <w:r>
        <w:t>Le principe de la proportionnalité, garanti par l’art. 5 al. 2 de la Constitution fédérale de la Confédération suisse du 18 avril 1999 (Cst. - RS 101),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- 5/6 - A/837/2018</w:t>
      </w:r>
    </w:p>
    <w:p>
      <w:r>
        <w:t>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ATA/735/2013 du 5 novembre 2013 consid. 11). 7)</w:t>
      </w:r>
    </w:p>
    <w:p>
      <w:r>
        <w:t>En l'espèce, le recourant conteste avoir été insultant à l’égard du gardien.</w:t>
      </w:r>
    </w:p>
    <w:p>
      <w:r>
        <w:t>Le détenu n’apporte cependant aucun élément qui irait à l’encontre des faits tels que relatés par le gardien. Il se contente d’opposer sa version à celle de l’agent de détention. Compte tenu de la jurisprudence précitée, la chambre administrative retiendra que l’incident s’est déroulé conformément à ce qui est décrit dans le rapport, rien ne permettant de s’en écarter.</w:t>
      </w:r>
    </w:p>
    <w:p>
      <w:r>
        <w:t>Par ailleurs, le détenu se contredit puisqu’il mentionne dans son recours qu’il conteste la sanction du 25 février 2018 et décrit des faits qui se seraient déroulés « lors de la promenade » alors même qu’il ressort des pièces du dossier qu’il a été mis en cellule forte le 25 février à 9h05, pour deux jours, et n’a pas participé à la promenade.</w:t>
      </w:r>
    </w:p>
    <w:p>
      <w:r>
        <w:t>L’offre de preuves du recourant n’est par ailleurs pas apte à modifier le résultat puisqu’elle porte sur des faits non pertinents à la résolution du présent litige.</w:t>
      </w:r>
    </w:p>
    <w:p>
      <w:r>
        <w:t>Dans ces conditions et compte tenu du pouvoir d’appréciation limité de la chambre administrative (art. 61 al. 2 LPA ; ATA/504/2010 du 3 août 2010), le directeur de la prison n’a ni abusé ni excédé son pouvoir d’appréciation en prononçant une mise en cellule forte pour deux jours pour injure envers le personnel. 8)</w:t>
      </w:r>
    </w:p>
    <w:p>
      <w:r>
        <w:t>Le recours est rejeté.</w:t>
      </w:r>
    </w:p>
    <w:p>
      <w:r>
        <w:t>Vu la nature du litige et son issue,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r>
        <w:t>- 6/6 - A/837/2018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