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ATA/502/2017 vom 2. Mai 2017</w:t>
      </w:r>
    </w:p>
    <w:p>
      <w:r>
        <w:t>GE Cour de justice, 2017-05-02, FR</w:t>
      </w:r>
    </w:p>
    <w:p>
      <w:r>
        <w:rPr>
          <w:b/>
        </w:rPr>
        <w:t xml:space="preserve">Quelle: </w:t>
      </w:r>
      <w:r>
        <w:t>https://mcp.opencaselaw.ch/entscheid/ge_gerichte_ATA_502_2017</w:t>
      </w:r>
    </w:p>
    <w:p>
      <w:r>
        <w:t>FR: GE_GERICHTE ATA/502/2017 du 2 mai 2017</w:t>
      </w:r>
    </w:p>
    <w:p>
      <w:r>
        <w:t>IT: GE_GERICHTE ATA/502/2017 del 2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p. 164).</w:t>
      </w:r>
    </w:p>
    <w:p>
      <w:r>
        <w:t>c. Un intérêt digne de protection suppose un intérêt actuel à obtenir l’annulation de la décision attaquée (ATF 138 II 42 consid. 1 p. 44). L’existence d’un intérêt actuel s’apprécie non seulement au moment du dépôt du recours, mais aussi lors du prononcé de la décision sur recours (ATF 137 I 296 consid. 4.2 p. 299). Si l'intérêt actuel fait défaut lors du dépôt du recours, ce dernier est déclaré irrecevable (ATF 139 I 206 consid. 1.1 p. 208) ; s’il s’éteint pendant la</w:t>
      </w:r>
    </w:p>
    <w:p>
      <w:r>
        <w:t>- 4/8 - A/949/2017 procédure, le recours, devenu sans objet, doit être simplement radié du rôle (ATF 137 I 23 consid. 1.3.1 p. 24).</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w:t>
      </w:r>
    </w:p>
    <w:p>
      <w:r>
        <w:t>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En effet, cette situation pourrait encore se présenter (ATA/183/2013 du 19 mars 2013 et la jurisprudence citée), dès lors qu'il ne ressort pas du dossier que le recourant aurait quitté la prison à ce jour.</w:t>
      </w:r>
    </w:p>
    <w:p>
      <w:r>
        <w:t>Le recours est donc recevable à tous points de vue.</w:t>
      </w:r>
    </w:p>
    <w:p>
      <w:r>
        <w:rPr>
          <w:b/>
        </w:rPr>
        <w:t>E. 3</w:t>
      </w:r>
    </w:p>
    <w:p>
      <w:r>
        <w:t>Le recourant se plaint de ce que son placement en cellule forte pendant trois jours serait infondé, dès lors que c’était son codétenu qui avait porté le premier coup ayant déclenché l’altercation.</w:t>
      </w:r>
    </w:p>
    <w:p>
      <w:r>
        <w:rPr>
          <w:b/>
        </w:rPr>
        <w:t>E. 4</w:t>
      </w:r>
    </w:p>
    <w:p>
      <w:r>
        <w:t>Il sollicite préalablement l’audition du gardien, auteur du rapport du 3 mars 2017.</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w:t>
      </w:r>
    </w:p>
    <w:p>
      <w:r>
        <w:t>b. S’agissant de l’audition requise par le recourant, celle-ci n’est pas susceptible d’éclairer la chambre de céans sur la question juridique à trancher, le rapport qu’il a rédigé à l’adresse du directeur de la prison ne comportant pas</w:t>
      </w:r>
    </w:p>
    <w:p>
      <w:r>
        <w:t>- 5/8 - A/949/2017 d’imprécision sur les faits pertinents. Il ne sera donc pas donné suite à cette requête puisqu’elle dispose de tous les éléments nécessaires pour statuer en connaissance de cause.</w:t>
      </w:r>
    </w:p>
    <w:p>
      <w:r>
        <w:rPr>
          <w:b/>
        </w:rPr>
        <w:t>E. 5</w:t>
      </w:r>
    </w:p>
    <w:p>
      <w:r>
        <w:t>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(ATA/902/2016 du 25 octobre 2016 ; Pierre MOOR/Étienne POLTIER, Droit administratif, vol. 2, 3ème éd., 2011, p. 142 à 145).</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(ATA/309/2016 du 12 avril 2016 ; ATA/972/2015 du 22 septembre 2015).</w:t>
      </w:r>
    </w:p>
    <w:p>
      <w:r>
        <w:rPr>
          <w:b/>
        </w:rPr>
        <w:t>E. 6</w:t>
      </w:r>
    </w:p>
    <w:p>
      <w:r>
        <w:t>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d. À teneur de l’art. 47 al. 3 RRIP, le directeur est compétent pour prononcer la suppression de visite pour quinze jours au plus (let. a) ; la suppression des</w:t>
      </w:r>
    </w:p>
    <w:p>
      <w:r>
        <w:t>- 6/8 - A/949/2017 promenades collectives (let. b) ; la suppression d’achat pour quinze jours au plus (let. c) ; la suppression de l’usage des moyens audiovisuels pour quinze jours au plus (let. d) ; la privation de travail (let. e) ; le placement en cellule forte pour dix jours au plus (let. f), étant précisé que ces sanctions peuvent se cumuler (art. 47 al. 4 RRIP). Il peut déléguer la compétence de prononcer les sanctions prévues à l'alinéa 3 à d'autres fonctionnaires gradés de la prison jusqu'au grade de sous-chef (art. 47 al. 5 RRIP).</w:t>
      </w:r>
    </w:p>
    <w:p>
      <w:r>
        <w:rPr>
          <w:b/>
        </w:rPr>
        <w:t>E. 7</w:t>
      </w:r>
    </w:p>
    <w:p>
      <w:r>
        <w:t>De jurisprudence constante, la chambre de céans accorde généralement valeur probante aux constatations figurant dans un rapport de police, établi par des agents assermentés (ATA/902/2016 précité ; ATA/99/2014 du 18 février 2014), sauf si des éléments permettent de s’en écarter. Dès lors que les agents de détention sont également des fonctionnaires assermentés (art. 7 LOPP), le même raisonnement peut être appliqué aux rapports établis par ces derniers.</w:t>
      </w:r>
    </w:p>
    <w:p>
      <w:r>
        <w:rPr>
          <w:b/>
        </w:rPr>
        <w:t>E. 8</w:t>
      </w:r>
    </w:p>
    <w:p>
      <w:r>
        <w:t>En l'espèce, il ressort du rapport du gardien du 3 mars 2017 que c’est effectivement le codétenu du recourant qui a donné le premier coup. Toutefois, une telle circonstance n’autorise pas celui qui le reçoit à se faire lui-même immédiatement justice. Ce qui est reproché au recourant est d’avoir répondu au-delà d’une réaction destinée uniquement à se protéger, soit en commençant immédiatement à se battre avec son collègue de cellule et en échangeant avec lui des coups, altercation à laquelle seule l’intervention des gardiens alertés a pu mettre fin. En adoptant ce comportement, le recourant a bel et bien transgressé la règle de discipline qui lui est imposée par l’art. 44 RRIP et troublé l’ordre de la prison en violation de l’art. 45 let. h RRIP.</w:t>
      </w:r>
    </w:p>
    <w:p>
      <w:r>
        <w:t>La direction de la prison était donc fondée à le sanctionner pour ces faits. Vu l’importance du trouble qu’occasionne une bagarre entre détenus dans une prison notoirement surpeuplée (ATA/803/2016 du 27 septembre 2016 ; ATA/734/2015 du 14 juillet 2015 consid. 7) et la nécessité d’en prévenir la survenance, une sanction de trois jours de cellule forte respecte le principe de la proportionnalité.</w:t>
      </w:r>
    </w:p>
    <w:p>
      <w:r>
        <w:t>En tous points infondé, le recours sera rejeté.</w:t>
      </w:r>
    </w:p>
    <w:p>
      <w:r>
        <w:rPr>
          <w:b/>
        </w:rPr>
        <w:t>E. 9</w:t>
      </w:r>
    </w:p>
    <w:p>
      <w:r>
        <w:t>Vu la nature du litige, aucun émolument ne sera perçu (art. 87 al. 1 LPA ; art. 12 al. 1 du règlement sur les frais, émoluments et indemnités en procédure administrative du 30 juillet 1986 - RFPA - E 5 10.03). Vu l’issue du litige, aucune indemnité de procédure ne sera allouée au recourant (art. 87 al. 2 LPA).</w:t>
      </w:r>
    </w:p>
    <w:p>
      <w:r>
        <w:t>* * * * *</w:t>
      </w:r>
    </w:p>
    <w:p>
      <w:r>
        <w:t>- 7/8 - A/949/2017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