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ATA/502/2016 vom 14. Juni 2016</w:t>
      </w:r>
    </w:p>
    <w:p>
      <w:r>
        <w:t>GE Cour de justice, 2016-06-14, FR</w:t>
      </w:r>
    </w:p>
    <w:p>
      <w:r>
        <w:rPr>
          <w:b/>
        </w:rPr>
        <w:t xml:space="preserve">Quelle: </w:t>
      </w:r>
      <w:r>
        <w:t>https://mcp.opencaselaw.ch/entscheid/ge_gerichte_ATA_502_2016</w:t>
      </w:r>
    </w:p>
    <w:p>
      <w:r>
        <w:t>FR: GE_GERICHTE ATA/502/2016 du 14 juin 2016</w:t>
      </w:r>
    </w:p>
    <w:p>
      <w:r>
        <w:t>IT: GE_GERICHTE ATA/502/2016 del 14 giugno 2016</w:t>
      </w:r>
    </w:p>
    <w:p>
      <w:pPr>
        <w:pStyle w:val="Heading2"/>
      </w:pPr>
      <w:r>
        <w:t>Erwägungen</w:t>
      </w:r>
    </w:p>
    <w:p>
      <w:r>
        <w:rPr>
          <w:b/>
        </w:rPr>
        <w:t>E. 7</w:t>
      </w:r>
    </w:p>
    <w:p>
      <w:r>
        <w:t>a.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 du Tribunal administratif fédéral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rPr>
          <w:b/>
        </w:rPr>
        <w:t>E. 8</w:t>
      </w:r>
    </w:p>
    <w:p>
      <w:r>
        <w:t>Vu ce qui précède, la décision de l’OCPM du 7 avril 2014 est conforme au droit et le recours de l’intéressé contre le jugement du TAPI du 3 octobre 2014 sera rejeté.</w:t>
      </w:r>
    </w:p>
    <w:p>
      <w:r>
        <w:rPr>
          <w:b/>
        </w:rPr>
        <w:t>E. 9</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