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ATA/4/2019 vom 7. Januar 2019</w:t>
      </w:r>
    </w:p>
    <w:p>
      <w:r>
        <w:t>GE Cour de justice, 2019-01-07, FR</w:t>
      </w:r>
    </w:p>
    <w:p>
      <w:r>
        <w:rPr>
          <w:b/>
        </w:rPr>
        <w:t xml:space="preserve">Quelle: </w:t>
      </w:r>
      <w:r>
        <w:t>https://mcp.opencaselaw.ch/entscheid/ge_gerichte_ATA_4_2019</w:t>
      </w:r>
    </w:p>
    <w:p>
      <w:r>
        <w:t>FR: GE_GERICHTE ATA/4/2019 du 7 janvier 2019</w:t>
      </w:r>
    </w:p>
    <w:p>
      <w:r>
        <w:t>IT: GE_GERICHTE ATA/4/2019 del 7 gennaio 2019</w:t>
      </w:r>
    </w:p>
    <w:p>
      <w:pPr>
        <w:pStyle w:val="Heading2"/>
      </w:pPr>
      <w:r>
        <w:t>Erwägungen</w:t>
      </w:r>
    </w:p>
    <w:p>
      <w:r>
        <w:rPr>
          <w:b/>
        </w:rPr>
        <w:t>E. 1</w:t>
      </w:r>
    </w:p>
    <w:p>
      <w:r>
        <w:t>Les décisions sur effet suspensif et mesures provisionnelles sont prises par le président, respectivement par le vice-président, ou en cas d’empêchement de ceux-ci, par un juge (art. 9 al. 1 du règlement interne de la chambre administrative du 26 septembre 2017).</w:t>
      </w:r>
    </w:p>
    <w:p>
      <w:r>
        <w:rPr>
          <w:b/>
        </w:rPr>
        <w:t>E. 2</w:t>
      </w:r>
    </w:p>
    <w:p>
      <w:r>
        <w:t>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rPr>
          <w:b/>
        </w:rPr>
        <w:t>E. 3</w:t>
      </w:r>
    </w:p>
    <w:p>
      <w:r>
        <w:t>L’octroi de mesures provisionnelles présuppose l’urgence, à savoir que le refus de les ordonner crée pour l’intéressé la menace d’un dommage difficile à réparer (ATF 130 II 149 consid. 2.2 ; 127 II 132 consid. 3 = RDAF 2002 I 405).</w:t>
      </w:r>
    </w:p>
    <w:p>
      <w:r>
        <w:t>Le prononcé de telles mesures ne saurait,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w:t>
      </w:r>
    </w:p>
    <w:p>
      <w:r>
        <w:t>- 4/6 - A/4127/2018 fond, ou en un aliud, soit une mesure différente de celle demandée au fond (Isabelle HAENER, Vorsogliche Massnahmen in Verwaltungsverfahren und Verwaltungsprozess, RDS 1997 II 253-420, p. 265 ; Cléa BOUCHAT, l’effet suspensif en procédure administrative, 2015, p. 21 n. 50).</w:t>
      </w:r>
    </w:p>
    <w:p>
      <w:r>
        <w:rPr>
          <w:b/>
        </w:rPr>
        <w:t>E. 4</w:t>
      </w:r>
    </w:p>
    <w:p>
      <w:r>
        <w:t>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rPr>
          <w:b/>
        </w:rPr>
        <w:t>E. 5</w:t>
      </w:r>
    </w:p>
    <w:p>
      <w:r>
        <w:t>La personne majeure qui n’est pas en mesure de subvenir à son entretien ou à celui des membres de la famille dont il a la charge a droit à des prestations d’aide financière (art. 8 al. 1 de la loi sur l’insertion et l’aide sociale individuelle du 22 mars 2007 - LIASI - J 4 04). Lesdites prestations sont subsidiaires à toute autre source de revenu (art. 9 al. 1 LIASI). Le bénéficiaire de mesures d’aide financière a un devoir de collaboration qui l’oblige à participer activement aux mesures le concernant (art. 20 LIASI). Il doit fournir gratuitement tous les renseignements nécessaires pour établir son droit et fixer le montant des prestations (art. 32 al. 1 LIASI).</w:t>
      </w:r>
    </w:p>
    <w:p>
      <w:r>
        <w:rPr>
          <w:b/>
        </w:rPr>
        <w:t>E. 6</w:t>
      </w:r>
    </w:p>
    <w:p>
      <w:r>
        <w:t>Les prestations d’aide financière peuvent être réduites, suspendues, refusées ou supprimées lorsque, notamment, le bénéficiaire, intentionnellement, ne s’acquitte pas de son obligation de collaborer ou qu’il donne des indications fausses ou incomplètes, ou cache des informations utiles (art. 35 al. 1 let. c et d LIASI).</w:t>
      </w:r>
    </w:p>
    <w:p>
      <w:r>
        <w:rPr>
          <w:b/>
        </w:rPr>
        <w:t>E. 7</w:t>
      </w:r>
    </w:p>
    <w:p>
      <w:r>
        <w:t>La chambre administrative est liée par les conclusions des parties (art. 69 al. 1 LPA).</w:t>
      </w:r>
    </w:p>
    <w:p>
      <w:r>
        <w:rPr>
          <w:b/>
        </w:rPr>
        <w:t>E. 8</w:t>
      </w:r>
    </w:p>
    <w:p>
      <w:r>
        <w:t>En l’espèce, la recourante a conclu à l’annulation partielle de la décision querellée, sur la seule exigence de la signature mensuelle d’une reconnaissance de dette portant sur le montant des prestations allouées.</w:t>
      </w:r>
    </w:p>
    <w:p>
      <w:r>
        <w:t>Dans la mesure où sa demande de restitution d’effet suspensif est formulée de telle manière qu’on peut comprendre qu’elle demande à pouvoir bénéficier des prestations ordinaires de l’HG pendant la durée de la procédure, sans être tenue de signer mensuellement une reconnaissance de dette, force est de constater qu’elle va au-delà du maintien de l’état de fait auquel est circonscrit l’objet du litige, à savoir la</w:t>
      </w:r>
    </w:p>
    <w:p>
      <w:r>
        <w:t>- 5/6 - A/4127/2018 subordination à la signature d’une telle reconnaissance de dette du versement d’une aide financière exceptionnelle remboursable.</w:t>
      </w:r>
    </w:p>
    <w:p>
      <w:r>
        <w:t>Ainsi circonscrite, la demande de restitution d’effet suspensif se confond avec les conclusions au fond, ce qui n’est pas admissible.</w:t>
      </w:r>
    </w:p>
    <w:p>
      <w:r>
        <w:t>En outre, il ne ressort pas de l’argumentation de la recourante que celle-ci contesterait son obligation de rembourser les prestations exceptionnelles que l’HG est d’accord de lui verser depuis le 1er septembre 2018. Dès lors, on ne voit pas quel intérêt légitime de la recourante serait, prima facie, compromis par l’obligation de signer une reconnaissance de dette à cet égard, l’illégalité alléguée de cette obligation n’étant, à ce stade, pas manifeste.</w:t>
      </w:r>
    </w:p>
    <w:p>
      <w:r>
        <w:t>La restitution de l’effet suspensif sera refusée.</w:t>
      </w:r>
    </w:p>
    <w:p>
      <w:r>
        <w:rPr>
          <w:b/>
        </w:rPr>
        <w:t>E. 9</w:t>
      </w:r>
    </w:p>
    <w:p>
      <w:r>
        <w:t>Le sort des frais sera réservé jusqu’à droit jugé au fond.</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Thomas Barth, avocat de la recourante, ainsi qu’à l’Hospice général.</w:t>
      </w:r>
    </w:p>
    <w:p>
      <w:r>
        <w:t>La présidente :</w:t>
      </w:r>
    </w:p>
    <w:p>
      <w:r>
        <w:t>F. Payot Zen-Ruffinen</w:t>
      </w:r>
    </w:p>
    <w:p>
      <w:r>
        <w:t>- 6/6 - A/4127/2018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