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ATA/499/2018 vom 22. Mai 2018</w:t>
      </w:r>
    </w:p>
    <w:p>
      <w:r>
        <w:t>GE Cour de justice, 2018-05-22, FR</w:t>
      </w:r>
    </w:p>
    <w:p>
      <w:r>
        <w:rPr>
          <w:b/>
        </w:rPr>
        <w:t xml:space="preserve">Quelle: </w:t>
      </w:r>
      <w:r>
        <w:t>https://mcp.opencaselaw.ch/entscheid/ge_gerichte_ATA_499_2018</w:t>
      </w:r>
    </w:p>
    <w:p>
      <w:r>
        <w:t>FR: GE_GERICHTE ATA/499/2018 du 22 mai 2018</w:t>
      </w:r>
    </w:p>
    <w:p>
      <w:r>
        <w:t>IT: GE_GERICHTE ATA/499/2018 del 22 maggio 2018</w:t>
      </w:r>
    </w:p>
    <w:p>
      <w:pPr>
        <w:pStyle w:val="Heading2"/>
      </w:pPr>
      <w:r>
        <w:t>Erwägungen</w:t>
      </w:r>
    </w:p>
    <w:p>
      <w:r>
        <w:rPr>
          <w:b/>
        </w:rPr>
        <w:t>E. 12</w:t>
      </w:r>
    </w:p>
    <w:p>
      <w:r>
        <w:t>septembre 1985 - LPA - E 5 10).</w:t>
      </w:r>
    </w:p>
    <w:p>
      <w:r>
        <w:t>- 3/6 - A/4869/2017 2)</w:t>
      </w:r>
    </w:p>
    <w:p>
      <w:r>
        <w:t>Est litigieuse la question de savoir si la note de 3,8 obtenue par le recourant pour son travail pratique peut être augmentée à 4.</w:t>
      </w:r>
    </w:p>
    <w:p>
      <w:r>
        <w:t>a. La loi fédérale sur la formation professionnelle du 13 décembre 2002 (LFPr - RS 412.10) régit notamment la formation professionnelle initiale (art. 2 al. 1 let. a LFPr). Selon l'art. 19 LFPr, le secrétariat d'État à la formation, à la recherche et à l'innovation (ci-après : SEFRI) édicte des ordonnances portant sur la formation professionnelle initiale (al. 1), ordonnances qui fixent, notamment, les procédures de qualification, les certificats délivrés et les titres décernés (al. 2 let. e). L'art. 12 de l'ordonnance sur la formation professionnelle du 19 novembre 2003 (OFPr - RS 412.101) précise et complète ces exigences.</w:t>
      </w:r>
    </w:p>
    <w:p>
      <w:r>
        <w:t>En application de l'art. 19 LFPr, le SEFRI a édicté l'ordonnance sur la formation professionnelle initiale de bijoutier avec CFC du 8 juillet 2009 (RS 412.101.221.08 ; ci-après : ordonnance du SEFRI). La procédure de qualification avec examen final porte notamment sur un travail pratique. La personne en formation doit montrer qu'elle est à même d'exécuter les tâches demandées dans les règles de l'art et en fonction des besoins et de la situation (art. 19 al. 1 let. a ordonnance du SEFRI). L'art. 20 de l'ordonnance du SEFRI décrit les conditions de réussite, les calculs et la pondération des notes. La procédure de qualification avec examen final est réussie si la note du « travail pratique » est supérieure ou égale à 4, et que la note globale est supérieure ou égale à 4.</w:t>
      </w:r>
    </w:p>
    <w:p>
      <w:r>
        <w:t>b. Sur le plan cantonal, l'art. 1 al. 3 let. d de la loi sur la formation professionnelle du 15 juin 2007 (LFP - C 2 05) prévoit que cette loi régit en particulier pour tous les secteurs professionnels autres que ceux relevant des hautes écoles, les certificats et attestations délivrés ainsi que les titres décernés. Par délégation du département de l'instruction publique, de la culture et du sport (ci-après : DIP), l'OFPC est chargé, en collaboration avec les services de l'État et les organisations du monde du travail, de l'application de la LFP (art. 5 LFP).</w:t>
      </w:r>
    </w:p>
    <w:p>
      <w:r>
        <w:t>c. En matière d'examens, le pouvoir de l'autorité de recours est extrêmement restreint, sauf pour les griefs de nature formelle, qu'elle peut revoir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(ATA/1372/2017 du 10 octobre 2017 consid. 7a ; ATA/966/2016 du 15 novembre 2016 consid. 2b). La chambre de céans n'annule donc le prononcé attaqué que si l'autorité intimée s'est laissée guider par des motifs sans rapport avec l'examen ou d'une autre manière manifestement insoutenable (ATF 136 I 229 consid. 6.2 ; 131 I 467 consid. 3.1 ; ATA/1372/2017 précité consid. 7b).</w:t>
      </w:r>
    </w:p>
    <w:p>
      <w:r>
        <w:t>- 4/6 - A/4869/2017</w:t>
      </w:r>
    </w:p>
    <w:p>
      <w:r>
        <w:t>d. En l’espèce, l’autorité intimée a constaté des irrégularités dans la procédure d’examen, notamment l’absence de barème et de grille d’évaluation ainsi qu’une disparité non motivée dans l’évaluation effectuée par les neuf experts. Ces vices permettaient de douter de l’appréciation correcte de l’examen de travail pratique, ce qui justifiait d’annuler la note obtenue et de donner l’opportunité au recourant de se présenter une nouvelle fois à cet examen.</w:t>
      </w:r>
    </w:p>
    <w:p>
      <w:r>
        <w:t>L’autorité intimée a ainsi, à juste titre, considéré que les graves vices affectant le déroulement de l’examen justifiaient l’annulation de la note de 3,8 attribuée au recourant pour l’examen de « travail pratique ».</w:t>
      </w:r>
    </w:p>
    <w:p>
      <w:r>
        <w:t>Cela étant, compte tenu de l’absence totale de grille d’évaluation et de barème, il convenait encore, dans le cas très particulier d’espèce, d’apprécier l’évaluation globale faite par chacun des neuf experts. En se fondant sur les notes que chacun d’eux a attribuées aux différents critères d’appréciation de l’examen « travail pratique », il apparaît que les notes globales attribuées par six des neuf experts conduisent à une moyenne suffisante de 4. En effet, l’addition des notes données pour chaque poste à évaluer par les experts 1, 2 et 8 conduisent une moyenne de 4 et celle des notes fixées par les experts 5 et 6 à une moyenne de 3,79 et celle de l’expert 4 à une moyenne de 3,8, ces moyennes devant être arrondies à 4 dès lors que seules des points et demi-points peuvent être attribués. L’appréciation globale de six des neuf experts conduit donc à une note suffisante pour l’examen « travail pratique ». Au vu de cet élément, il était arbitraire de retenir que la prestation du recourant à l’examen « travail pratique » était insuffisante.</w:t>
      </w:r>
    </w:p>
    <w:p>
      <w:r>
        <w:t>Ce résultat était d’autant moins soutenable que l’évaluation ne reposait sur aucune base objective et ne répondait pas à des critères objectifs communs aux neuf experts.</w:t>
      </w:r>
    </w:p>
    <w:p>
      <w:r>
        <w:t>Partant et dans les circonstances très particulières du présent cas, le recours sera admis, les décisions de l’intimé des 23 juin et 13 novembre 2017 seront annulés et l’intimé sera invité à établir un nouveau bulletin de note comprenant la note 4 pour le « travail pratique » et à délivrer au recourant le CFC de bijoutier. 3)</w:t>
      </w:r>
    </w:p>
    <w:p>
      <w:r>
        <w:t>Vu la nature de la procédure, aucun émolument ne sera prélevé (art. 87 al. 1 LPA ; art. 11 du règlement sur les frais, émoluments et indemnités en procédure administrative du 30 juillet 1986 - RFPA - E 5 10.03). Il n’y a pas lieu à l’allocation d’une indemnité de procédure, le recourant agissant en personne (art. 87 al. 2 LPA). * * * * *</w:t>
      </w:r>
    </w:p>
    <w:p>
      <w:r>
        <w:t>- 5/6 - A/4869/2017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