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ATA/498/2020 vom 19. Mai 2020</w:t>
      </w:r>
    </w:p>
    <w:p>
      <w:r>
        <w:t>GE Cour de justice, 2020-05-19, FR</w:t>
      </w:r>
    </w:p>
    <w:p>
      <w:r>
        <w:rPr>
          <w:b/>
        </w:rPr>
        <w:t xml:space="preserve">Quelle: </w:t>
      </w:r>
      <w:r>
        <w:t>https://mcp.opencaselaw.ch/entscheid/ge_gerichte_ATA_498_2020</w:t>
      </w:r>
    </w:p>
    <w:p>
      <w:r>
        <w:t>FR: GE_GERICHTE ATA/498/2020 du 19 mai 2020</w:t>
      </w:r>
    </w:p>
    <w:p>
      <w:r>
        <w:t>IT: GE_GERICHTE ATA/498/2020 del 19 maggio 2020</w:t>
      </w:r>
    </w:p>
    <w:p>
      <w:pPr>
        <w:pStyle w:val="Heading2"/>
      </w:pPr>
      <w:r>
        <w:t>Erwägungen</w:t>
      </w:r>
    </w:p>
    <w:p>
      <w:r>
        <w:rPr>
          <w:b/>
        </w:rPr>
        <w:t>E. 12</w:t>
      </w:r>
    </w:p>
    <w:p>
      <w:r>
        <w:t>septembre 1985 - LPA - E 5 10). 2)</w:t>
      </w:r>
    </w:p>
    <w:p>
      <w:r>
        <w:t>La recourante se plaint de violation de son droit d'être entendue par le TAPI et elle demande à la chambre administrative de procéder aux actes d’instruction qu’elle avait sollicités devant la juridiction de première instance.</w:t>
      </w:r>
    </w:p>
    <w:p>
      <w:r>
        <w:t>- 9/18 - A/3596/2018</w:t>
      </w:r>
    </w:p>
    <w:p>
      <w:r>
        <w:t>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Le droit d'être entendu ne comprend pas le droit à une audition orale (ATF 140 I 285 consid. 6.3.1 ; arrêt du Tribunal fédéral 2D_51/2018 du 17 janvier 2019 consid. 4.1).</w:t>
      </w:r>
    </w:p>
    <w:p>
      <w:r>
        <w:t>b. Ce droit est une garantie de nature formelle dont la violation doit en principe entraîner l'annulation de la décision attaquée, indépendamment des chances du recourant sur le fond. Une réparation devant l'instance de recours est toutefois possible si celle-ci jouit du même pouvoir d'examen que l'autorité intimée. La réparation dépend cependant de la gravité et de l'étendue de l'atteinte portée au droit d'être entendu et doit rester l'exception. Elle peut se justifier même en présence d'un vice grave, lorsque le renvoi constituerait une vaine formalité et aboutirait à un allongement inutile de la procédure.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(ATA/244/2020 du 3 mars 2020 consid. 7a et les références citées).</w:t>
      </w:r>
    </w:p>
    <w:p>
      <w:r>
        <w:t>c. La recourante reproche au TAPI de ne pas avoir procédé à un transport sur place et de ne pas avoir entendu le directeur général de l’office de l’urbanisme, les architectes urbanistes mandatées par la commune dans le cadre de la modification de son plan directeur communal ainsi qu’une conseillère administrative de la commune.</w:t>
      </w:r>
    </w:p>
    <w:p>
      <w:r>
        <w:t>Dès lors que la chambre administrative a procédé à un transport sur place, l’éventuelle violation du droit d’être entendu commise par le TAPI a, en tout état, été réparée.</w:t>
      </w:r>
    </w:p>
    <w:p>
      <w:r>
        <w:t>En ce qui concerne les auditions demandées par la commune, la position soutenue par cette dernière concernant la stratégie qu’elle désire suivre dans le cadre de l’élaboration de son nouveau PDcom a parfaitement été exposée, décrite et démontrée par pièces dans le cadre du recours contre le TAPI et de ses annexes. D’autre part, le service compétent de l’office de l’urbanisme a préavisé le projet.</w:t>
      </w:r>
    </w:p>
    <w:p>
      <w:r>
        <w:t>- 10/18 - A/3596/2018</w:t>
      </w:r>
    </w:p>
    <w:p>
      <w:r>
        <w:t>d. En conséquence, le grief de violation du droit d’être entendu sera écarté en ce qu’il vise l’instruction de la procédure faite par l’autorité judiciaire de première instance. De plus, la chambre administrative ne procédera pas aux auditions demandées par la recourante, le dossier étant complet et en état d’être jugé. 3)</w:t>
      </w:r>
    </w:p>
    <w:p>
      <w:r>
        <w:t>La recourante soutient que l’absence d’indication concernant les bâtiments voisins sur les plans déposés constitue une violation de l’art. 9 al. 3 du règlement d’application de la loi sur les constructions et les installations diverses du 27 février 1978 (RCI - L 5 05.01).</w:t>
      </w:r>
    </w:p>
    <w:p>
      <w:r>
        <w:t>a. Selon la disposition en question, les documents fournis au département (plans, coupes élévation) font figurer les constructions voisines, pour permettre d’apprécier l’intégration du projet dans son contexte, lorsque la requête vise à édifier des constructions en ordre contigu.</w:t>
      </w:r>
    </w:p>
    <w:p>
      <w:r>
        <w:t>b. En l’espèce, certains des plans fournis ne mentionnent pas les constructions voisines.</w:t>
      </w:r>
    </w:p>
    <w:p>
      <w:r>
        <w:t>Toutefois, ainsi que l’a retenu le TAPI, cette carence ne peut entraîner l’admission du recours, sauf à violer le principe interdisant le formalisme excessif.</w:t>
      </w:r>
    </w:p>
    <w:p>
      <w:r>
        <w:t>Certains des plans produits, à commencer par le plan cadastral, comportent les bâtiments voisins du projet. D’autre part, tant le préavis de la commune que ceux émis par la CA démontrent que ces instances de préavis étaient parfaitement renseignées sur cet environnement.</w:t>
      </w:r>
    </w:p>
    <w:p>
      <w:r>
        <w:t>En dernier lieu, les outils informatiques officiels, tel le système d’information du territoire genevois (ci-après : SITG), permettent d’apprécier le contexte du projet en pleine connaissance de cause : le SITG autorise la consultation non seulement du plan de situation et des photos satellites, mais offre aussi une vue modélisée des bâtiments existants et du bâtiment projeté dans une représentation en trois dimensions.</w:t>
      </w:r>
    </w:p>
    <w:p>
      <w:r>
        <w:t>Partant, ce grief sera écarté. 4)</w:t>
      </w:r>
    </w:p>
    <w:p>
      <w:r>
        <w:t>La recourante reproche au département d’avoir autorisé l’application de la dérogation au rapport de surface contenu à l’art. 59 al. 4 LCI, dont les conditions ne seraient pas remplies.</w:t>
      </w:r>
    </w:p>
    <w:p>
      <w:r>
        <w:t>a. L'art. 59 al. 4 LCI règle les rapports des surfaces en zone villas dans deux cas de figure, dont seul le premier – bien que la parcelle concernée ait une surface supérieure à 5'000 m2 – est applicable en l’espèce.</w:t>
      </w:r>
    </w:p>
    <w:p>
      <w:r>
        <w:t>Lorsque les circonstances le justifient et que cette mesure est compatible avec le caractère, l'harmonie et l'aménagement du quartier, le département peut autoriser, à certaines conditions précisées aux let. a et b de l'art. 59 al. 4 LCI, un</w:t>
      </w:r>
    </w:p>
    <w:p>
      <w:r>
        <w:t>- 11/18 - A/3596/2018 projet de construction en ordre contigu ou sous forme d'habitat groupé à un taux de densification plus élevé que ceux mentionnés à l'art. 59 al. 1 LCI. Le cas visé par la let. a de cette disposition requiert la consultation de la commune et de la CA.</w:t>
      </w:r>
    </w:p>
    <w:p>
      <w:r>
        <w:t>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(ATA/259/2020 du 3 mars 2020).</w:t>
      </w:r>
    </w:p>
    <w:p>
      <w:r>
        <w:t>Il n'en demeure pas moins que la délivrance de telles autorisations de construire demeure de la compétence exclusive du département, à qui il appartient de statuer en tenant compte de tous les intérêts en présence (ATA/259/2020 précité ; ATA/318/2017 du 21 mars 2017).</w:t>
      </w:r>
    </w:p>
    <w:p>
      <w:r>
        <w:t>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et la jurisprudence citée).</w:t>
      </w:r>
    </w:p>
    <w:p>
      <w:r>
        <w:t>d. Selon une jurisprudence bien établie, la chambre de céans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(ATA/1098/2019 du 25 juin 2019). De même, s'agissant des jugements rendus par le TAPI, la chambre administrative exerce son pouvoir d'examen avec retenue car celui-ci se compose pour partie de personnes possédant des compétences techniques spécifiques (ATA/373/2016 du 3 mai 2016 et les références).</w:t>
      </w:r>
    </w:p>
    <w:p>
      <w:r>
        <w:t>- 12/18 - A/3596/2018</w:t>
      </w:r>
    </w:p>
    <w:p>
      <w:r>
        <w:t>e. Dans son recours, la commune de Veyrier demande à la chambre administrative de revoir sa jurisprudence, afin de donner un poids prépondérant au préavis de la commune, en particulier lorsque cette dernière a plus de 10'000 habitants. Dans cette hypothèse, elle disposerait de services communaux lui permettant de rendre des préavis plus consistants que ceux des petites communes.</w:t>
      </w:r>
    </w:p>
    <w:p>
      <w:r>
        <w:t>Ce vœu ne peut toutefois pas être suivi. En l’état de la législation, les préavis, en particulier lorsqu’ils sont obligatoires, ont un poids certain. Toutefois, ce poids n’oblige jamais l’administration à les suivre, pour autant qu’elle ait des motifs d’agir ainsi. De plus, lorsque deux préavis obligatoires sont opposés, aucun d’entre eux n’a une prééminence automatique sur le second. Il appartient à l’autorité cantonale d’apprécier globalement les motifs des préavis rendus avant de rendre sa décision. La chambre administrative, lorsque le TAPI – qui comme il a déjà été dit est composé pour partie de spécialistes – a suivi la décision querellée, doit garder une réserve certaine.</w:t>
      </w:r>
    </w:p>
    <w:p>
      <w:r>
        <w:t>Cela clarifié, la chambre administrative retiendra que, en l’état, le nouveau PDCom de la commune n’a été ni adopté par le conseil municipal ni approuvé par le Conseil d’État, lequel peut y apporter des réserves, voire en écarter certaines parties.</w:t>
      </w:r>
    </w:p>
    <w:p>
      <w:r>
        <w:t>L’analyse à laquelle a procédé la CA qui, certes a modifié sa position, apparaît particulièrement fouillée et prenant en compte tant les spécificités de la parcelle concernée, sa situation géographique, la proximité de la route Antoine- Martin, de la zone agricole et des villas environnantes. Cette commission a de plus confirmé son préavis après avoir analysé et étudié les arguments de la commune, que cette dernière lui avait transmis.</w:t>
      </w:r>
    </w:p>
    <w:p>
      <w:r>
        <w:t>La position de la commune, quant à elle, apparaît ne pas totalement prendre en compte les spécificités du lieu. La commune insiste sur la manière dont elle entend traiter la transition entre les zones villa et les zones agricoles, sans prendre en compte les spécificités de la parcelle concernée, en particulier sa forme et la végétation la séparant des villas voisines.</w:t>
      </w:r>
    </w:p>
    <w:p>
      <w:r>
        <w:t>La chambre administrative relèvera encore que,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(ATA/259/2020 du 3 mars 2020 consid. 13). Or, cette instance a préavisé favorablement le projet, sans émettre d’observations.</w:t>
      </w:r>
    </w:p>
    <w:p>
      <w:r>
        <w:t>De plus, l'obligation de densification des autorités genevoises résulte du plan directeur cantonal 2030 adopté le 20 septembre 2013 et approuvé par le Conseil fédéral le 28 janvier 2015 (ci-après : PDCant). Ce document fondateur</w:t>
      </w:r>
    </w:p>
    <w:p>
      <w:r>
        <w:t>- 13/18 - A/3596/2018 illustre leur réelle intention de procéder aux aménagements nécessaires. Le projet querellé s'inscrit pleinement dans ce projet puisque pour la parcelle visée, il n’est pas contesté que celle-ci est à destination d’utilisation diversifiée de la zone villa avec l’objectif de planification directrice d’une densification sans modification de zone de la zone villa en favorisant l’habitat individuel groupé (fiche A04 du PDCant).</w:t>
      </w:r>
    </w:p>
    <w:p>
      <w:r>
        <w:t>En conséquence, il appert que le département n’a pas excédé ou abusé du pouvoir d’appréciation conféré par l’art. 59 al. 4 let. a LCI en délivrant l’autorisation querellée et le grief doit être écarté. 5)</w:t>
      </w:r>
    </w:p>
    <w:p>
      <w:r>
        <w:t>La recourante reproche au bâtiment projeté d’être trop proche de la route Antoine-Martin, laquelle est une route cantonale. De plus, il soutient que le calcul du gabarit ne doit pas se faire en prenant en compte l’axe de la route.</w:t>
      </w:r>
    </w:p>
    <w:p>
      <w:r>
        <w:t>a. Salon l’art. 11 al. 1 et 2 de la loi sur les routes du 28 avril 1967 (LRoutes - L 1 10), à défaut de plan d’alignement, aucune nouvelle construction ou installation, tant en sous-sol qu’en élévation, ne peut être édifiée sur une profondeur, mesurée de l’axe de la route, de 25 m pour les routes cantonales.</w:t>
      </w:r>
    </w:p>
    <w:p>
      <w:r>
        <w:t>Toutefois, le département, après consultation de la commune, peut déroger à la distance prescrite si les conditions locales font apparaître que l’interdiction de construire qui en découle ne repose sur aucun motif pertinent d’aménagement du territoire ou d’environnement (art. 11 al. 3 LRoutes).</w:t>
      </w:r>
    </w:p>
    <w:p>
      <w:r>
        <w:t>b. Selon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w:t>
      </w:r>
    </w:p>
    <w:p>
      <w:r>
        <w:t>À front ou en retrait des voies publiques ou privées, la hauteur du gabarit ne peut dépasser la moitié de la distance fixée entre alignements augmentée de 1 m (H ≤ ½ D + 1) (art. 61 al. 2 LCI). La hauteur du gabarit est calculée, par rapport aux limites de propriétés privées, conformément aux dispositions de l'art. 69 (H ≤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w:t>
      </w:r>
    </w:p>
    <w:p>
      <w:r>
        <w:t>c. Selon une pratique constante du département, confirmée par l’autorité judiciaire de première instance (DCCR 501/2010 du 12 avril 2010 concernant un projet de construction en zone 4B protégée ; JTAPI/91/2012 du 19 janvier 2012 concernant un bâtiment de peu d’importance en cinquième zone de construction),</w:t>
      </w:r>
    </w:p>
    <w:p>
      <w:r>
        <w:t>- 14/18 - A/3596/2018 il n'est pas arbitraire de prendre comme référence l'axe de la route pour effectuer le calcul de la distance à un alignement.</w:t>
      </w:r>
    </w:p>
    <w:p>
      <w:r>
        <w:t>Cette pratique est fondée sur la ratio legis des règles régissant la distance à la limite des parcelles ainsi que le gabarit des constructions, lesquelles ont pour but d’assurer la qualité du tissu urbain et de l’habitabilité des constructions. Ces impératifs sont respectés en prenant l’axe de la route, dès lors que la distance entre les maisons situées de chaque côté de l’axe est assurée (arrêt du Tribunal fédéral 1C_196/2007 du 27 février 2008, c. 4.3).</w:t>
      </w:r>
    </w:p>
    <w:p>
      <w:r>
        <w:t>d. En l’espèce, il est établi que le bâtiment projeté ne se trouve pas à 25 m de l’axe de la route cantonale, et qu’il n’y a pas de plan d’alignement.</w:t>
      </w:r>
    </w:p>
    <w:p>
      <w:r>
        <w:t>Cela dit, les conditions permettant l’octroi d’une dérogation au sens de l’art. 11 al. 3 Lroutes sont remplies. L’opposition de la commune, même si elle ne l’a pas mentionnée dans le préavis, est manifestement en lien avec son opposition globale à ce projet. Sur ce point, la direction générale du génie civil, autorité compétente pour la gestion des routes cantonales, a procédé à une analyse approfondie de la demande, et requis la cession d’une bande de terrain de 2,5 m, afin de ne pas péjorer la création d’aménagements publics futurs. Au vu de ces éléments, force est d’admettre que les conditions d’octroi d’une dérogation sont remplies.</w:t>
      </w:r>
    </w:p>
    <w:p>
      <w:r>
        <w:t>Il sera encore relevé que, s’il est regrettable que l’octroi de cette dérogation n’ait pas formellement été publié, la commune n’a subi aucun préjudice de ce défaut de publication dès lors qu’elle a fait valoir ce grief dès son recours. 6) a. Selon l'art. 22 al. 1 de la loi fédérale sur la protection de l'environnement du 7 octobre 1983 (LPE - RS 814.01), les permis de construire de nouveaux immeubles destinés au séjour prolongé de personnes ne seront délivrés, sous réserve de l'al. 2, que si les valeurs limites d’immissions (ci-après :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w:t>
      </w:r>
    </w:p>
    <w:p>
      <w:r>
        <w:t>b. Le chap. 5 de l'ordonnance sur la protection contre le bruit du 15 décembre 1986 (OPB – RS814.41 ; art. 29 ss OPB) contient les exigences posées aux zones à bâtir et permis de construire dans des secteurs exposés au bruit. Pour les permis de construire dans des secteurs exposés au bruit, l'art. 31 al. 1 OPB prévoit que lorsque les VLI sont dépassées, les nouvelles constructions ou les modifications notables de bâtiments comprenant des locaux à usage sensible au bruit, ne seront autorisées que si ces valeurs peuvent être respectées par : la disposition des locaux à usage sensible au bruit sur le côté du bâtiment opposé au bruit (let. a) ; ou des mesures de construction ou d'aménagement susceptibles de protéger le bâtiment</w:t>
      </w:r>
    </w:p>
    <w:p>
      <w:r>
        <w:t>- 15/18 - A/3596/2018 contre le bruit (let. b). L'art. 31 OPB complète l'art. 22 LPE. Les permis de construire de nouveaux immeubles destinés au séjour prolongé de personnes ne seront délivrés, sous réserve de l'al. 2, que si les VLI ne sont pas dépassées (art. 22 al. 1 LPE).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(art. 22 al. 2 LPE).</w:t>
      </w:r>
    </w:p>
    <w:p>
      <w:r>
        <w:t>c. Dans la présente affaire, le service de l’air, du bruit et des rayonnements non ionisants, a émis, le 6 septembre 2017, un préavis favorable « sous condition ». Il relevait que les VLI dues au trafic routier n’étaient pas respectées. Toutefois, les locaux sensibles au bruit qui y étaient créés étaient disposés sur le côté du bâtiment opposé au bruit, ce qui permettait d’admettre que l’exigence principale figurant à l’art. 31 al. 1 OPB était remplie. Au surplus, des conditions étaient fixées, que le requérant à l’autorisation de construire devait respecter, afin que les exigences minimales d’isolation phonique de l’enveloppe du bâtiment soient remplies.</w:t>
      </w:r>
    </w:p>
    <w:p>
      <w:r>
        <w:t>Cette conclusion est confirmée par le rapport d’expertise acoustique du 28 octobre 2019, réalisé par le bureau Architecture &amp; Acoustique à la demande de l’architecte du projet.</w:t>
      </w:r>
    </w:p>
    <w:p>
      <w:r>
        <w:t>En conséquence, les critiques formées par la recourante tombent à faux et ce grief sera écarté. 7)</w:t>
      </w:r>
    </w:p>
    <w:p>
      <w:r>
        <w:t>Le bâtiment, du fait de ses baies vitrées, entraîneraient des inconvénients graves pour les usagers et le voisinage.</w:t>
      </w:r>
    </w:p>
    <w:p>
      <w:r>
        <w:t>a.</w:t>
      </w:r>
    </w:p>
    <w:p>
      <w:r>
        <w:t>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w:t>
      </w:r>
    </w:p>
    <w:p>
      <w:r>
        <w:t>- 16/18 - A/3596/2018 d'abus de la part du constructeur. Le problème doit être examiné par rapport aux caractéristiques du quartier ou des rues en cause (ATA/259/2020 du 3 mars 2020 ; ATA/1829/2019 du 17 décembre 2019 et les arrêts cités).</w:t>
      </w:r>
    </w:p>
    <w:p>
      <w:r>
        <w:t>b. En l’espèce, on peine à distinguer les critiques formulées par la recourante. En effet, ainsi que l’indique le TAPI, la gestion de ces ouvertures vitrées sera du ressort des occupants de l’immeuble, lesquels installeront des rideaux ou stores à vénitiennes, ou encore tout autre dispositif leur permettant de bénéficier de l’intimé dont ils souhaitent profiter.</w:t>
      </w:r>
    </w:p>
    <w:p>
      <w:r>
        <w:t>Au surplus, et ainsi que le relève le département, la législation genevoise indique des normes d’ouverture minimum dans les pièces habitables, mais ne s’érige pas en protectrice de l’intimité des habitants.</w:t>
      </w:r>
    </w:p>
    <w:p>
      <w:r>
        <w:t>En conséquence, ce grief sera aussi rejeté.</w:t>
      </w:r>
    </w:p>
    <w:p>
      <w:r>
        <w:t>8)</w:t>
      </w:r>
    </w:p>
    <w:p>
      <w:r>
        <w:t>Les recourants soutiennent que les sous-sols prévus autorisés ont une surface supérieure à celle admissible.</w:t>
      </w:r>
    </w:p>
    <w:p>
      <w:r>
        <w:t>a. L’art. 59 al. 8 LCI prévoit que, en cinquième zone de construction, la surface des constructions en sous-sol, exprimée en m2 de plancher brut, ne doit pas excéder la surface de plancher hors sol qui peut être autorisée.</w:t>
      </w:r>
    </w:p>
    <w:p>
      <w:r>
        <w:t>Dans tous les cas, la surface du sous-sol, y compris celle du sous-sol des constructions de peu d’importance, ne peut excéder le 20 % de la surface de la parcelle. Cette surface peut être portée à 22 % lorsque la construction est conforme à un standard de haute performance énergétique, respectivement à 24 % lorsque la construction est conforme à un standard de très haute performance énergétique, reconnue comme telle par le service compétent (art. 59 al. 9 LCI).</w:t>
      </w:r>
    </w:p>
    <w:p>
      <w:r>
        <w:t>Le département peut, toutefois, admettre une surface de sous-sol non comprise dans le calcul du rapport des surfaces, tel que défini aux alinéas 8 et 9 du présent article, si la construction de garages au sous-sol permet de renoncer à l’édification de constructions de peu d’importance à destination de garages en surface (art. 59 al. 10 LCI).</w:t>
      </w:r>
    </w:p>
    <w:p>
      <w:r>
        <w:t>b. En l’espèce, les conditions d’application de l’art. 59 al. 10 LCI sont remplies. Le sous-sol prévu dans le bâtiment évite de créer, sur la surface de la parcelle, des places de parking et cela même pour les visiteurs. Cette solution est nécessaire s’il l’on veut garder la surface de la parcelle libre de constructions annexes, ainsi que recommandé par la CA.</w:t>
      </w:r>
    </w:p>
    <w:p>
      <w:r>
        <w:t>Partant, ce grief, sans substance, sera aussi écarté. 9)</w:t>
      </w:r>
    </w:p>
    <w:p>
      <w:r>
        <w:t>Pour la commune, les dispositions régissant la protection de la forêt n’auraient pas été respectées.</w:t>
      </w:r>
    </w:p>
    <w:p>
      <w:r>
        <w:t>- 17/18 - A/3596/2018</w:t>
      </w:r>
    </w:p>
    <w:p>
      <w:r>
        <w:t>a. Aux termes de l'art. 4 al. 1 de la loi sur les forêts du 20 mai 1999 (LForêts - M 5 10), quiconque prouve un intérêt digne d'être protégé peut demander à l'inspecteur cantonal des forêts de décider si un bien-fonds doit être considéré comme forêt ou non.</w:t>
      </w:r>
    </w:p>
    <w:p>
      <w:r>
        <w:t>L'implantation de constructions à moins de 20 m de la lisière de la forêt, telle que constatée au sens de l'art. 4, est interdite (art. 11 al. 1 LForêt). Le département peut toutefois accorder des dérogations dans certaines hypothèses (art. 11 al. 2 et 3 LFôret).</w:t>
      </w:r>
    </w:p>
    <w:p>
      <w:r>
        <w:t>b. En l’espèce, les dispositions précitées ne sont pas applicables, dès lors qu’il n’y a pas de forêt. À cet égard, il sera rappelé que l’existence ou non d’une forêt fait l’objet d’une procédure spécifique, celle de constatation de la nature forestière. En l’espèce, le service des monuments et des sites, qui, dans un premier temps avait cru à l’existence d’une forêt, a procédé aux investigations nécessaires et constaté que tel n’était pas le cas.</w:t>
      </w:r>
    </w:p>
    <w:p>
      <w:r>
        <w:t>Partant, ce grief sera aussi rejeté.</w:t>
      </w:r>
    </w:p>
    <w:p>
      <w:r>
        <w:t>10) Pour ces motifs, c'est conformément au droit que le TAPI a confirmé l'autorisation querellée, le département n'ayant pas abusé de son pouvoir d'appréciation. 11) En conséquence, le recours, en tous points mal fondé, sera rejeté.</w:t>
      </w:r>
    </w:p>
    <w:p>
      <w:r>
        <w:t>Vu l’issue du litige, un émolument de CHF 2'000.- sera mis à la charge de la recourante, qui succombe et ne défendait pas une décision prise par elle-même (art. 87 al. 1 LPA). Une indemnité de procédure de CHF 2'000.- sera allouée à Moser Vernet et M. PICTET, valant participation aux honoraires de leur avocat, à la charge de la recourante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