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ATA/497/2017 vom 2. Mai 2017</w:t>
      </w:r>
    </w:p>
    <w:p>
      <w:r>
        <w:t>GE Cour de justice, 2017-05-02, FR</w:t>
      </w:r>
    </w:p>
    <w:p>
      <w:r>
        <w:rPr>
          <w:b/>
        </w:rPr>
        <w:t xml:space="preserve">Quelle: </w:t>
      </w:r>
      <w:r>
        <w:t>https://mcp.opencaselaw.ch/entscheid/ge_gerichte_ATA_497_2017</w:t>
      </w:r>
    </w:p>
    <w:p>
      <w:r>
        <w:t>FR: GE_GERICHTE ATA/497/2017 du 2 mai 2017</w:t>
      </w:r>
    </w:p>
    <w:p>
      <w:r>
        <w:t>IT: GE_GERICHTE ATA/497/2017 del 2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1 LNav, l’amarrage et le dépôt de bateaux dans les eaux genevoises et sur le domaine public, le long des rives, sont subordonnés à une autorisation « à bien plaire », personnelle et intransmissible. Ces autorisations ne sont délivrées que contre paiement d’un émolument administratif et d’une redevance annuelle (art. 11 al. 1 LNav).</w:t>
      </w:r>
    </w:p>
    <w:p>
      <w:r>
        <w:t>L’art 16 al. 1 LNav prévoit que le défaut de paiement de la redevance annuelle entraîne de plein droit la caducité de l’autorisation.</w:t>
      </w:r>
    </w:p>
    <w:p>
      <w:r>
        <w:t>- 4/6 - A/1452/2016</w:t>
      </w:r>
    </w:p>
    <w:p>
      <w:r>
        <w:rPr>
          <w:b/>
        </w:rPr>
        <w:t>E. 3</w:t>
      </w:r>
    </w:p>
    <w:p>
      <w:r>
        <w:t>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ATA/19/2016 du 12 janvier 2016 et les références citées).</w:t>
      </w:r>
    </w:p>
    <w:p>
      <w:r>
        <w:rPr>
          <w:b/>
        </w:rPr>
        <w:t>E. 4</w:t>
      </w:r>
    </w:p>
    <w:p>
      <w:r>
        <w:t>En l’espèce, la décision litigieuse constitue une application stricte et rigide de la législation citée ci-dessus, même si l’on peut regretter que la mise en demeure adressée au titulaire de la place d’amarrage ne soit pas tout de même assortie d’un rappel des conséquences qu’entraînerait le non-respect du délai de paiement.</w:t>
      </w:r>
    </w:p>
    <w:p>
      <w:r>
        <w:t>Les explications données par le recourant, soit une absence à l’étranger pour des raisons justifiées n’empêchent pas que celui-ci ait à prendre toutes les mesures qui permettent d’assurer le suivi de ses obligations étatiques. Cela dit, les éléments qu’il avance, soit la longue durée de la location, son absence de retard dans ses paiements jusque-là, son âge et sa mise à la retraite, comme le fait qu’il s’est immédiatement acquitté de son dû dès son retour en Suisse doivent être pris en compte de manière déterminante, sans qu’il y ait lieu de dénier au département le droit d’adopter une politique plus stricte qu’auparavant dans la gestion des places d’amarrage.</w:t>
      </w:r>
    </w:p>
    <w:p>
      <w:r>
        <w:t>L’attention de l’intéressé sera toutefois très fermement attirée sur le fait qu’il devra, à l’avenir, honorer la taxe d’amarrage strictement dans le délai ressortant des factures qu’il reçoit, à défaut de quoi la place amarrage dont il bénéficie lui sera alors retirée.</w:t>
      </w:r>
    </w:p>
    <w:p>
      <w:r>
        <w:rPr>
          <w:b/>
        </w:rPr>
        <w:t>E. 5</w:t>
      </w:r>
    </w:p>
    <w:p>
      <w:r>
        <w:t>Au vu de ce qui précède, le recours sera admis et la décision litigieuse annulée.</w:t>
      </w:r>
    </w:p>
    <w:p>
      <w:r>
        <w:t>Aucune indemnité ne sera alloué au recourant, qui n’y a pas conclu et n’a pas exposé de frais, et aucun émolument de procédure ne sera perçu (art. 87 LPA).</w:t>
      </w:r>
    </w:p>
    <w:p>
      <w:r>
        <w:t>- 5/6 - A/1452/2016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