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ATA/497/2012 vom 31. Juli 2012</w:t>
      </w:r>
    </w:p>
    <w:p>
      <w:r>
        <w:t>GE Cour de justice, 2012-07-31, FR</w:t>
      </w:r>
    </w:p>
    <w:p>
      <w:r>
        <w:rPr>
          <w:b/>
        </w:rPr>
        <w:t xml:space="preserve">Quelle: </w:t>
      </w:r>
      <w:r>
        <w:t>https://mcp.opencaselaw.ch/entscheid/ge_gerichte_ATA_497_2012</w:t>
      </w:r>
    </w:p>
    <w:p>
      <w:r>
        <w:t>FR: GE_GERICHTE ATA/497/2012 du 31 juillet 2012</w:t>
      </w:r>
    </w:p>
    <w:p>
      <w:r>
        <w:t>IT: GE_GERICHTE ATA/497/2012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- 4/7 - A/4202/2011</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après l’obtention d’un permis.</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- 5/7 - A/4202/2011</w:t>
      </w:r>
    </w:p>
    <w:p>
      <w:r>
        <w:t>L'art. 21 al. 6 du règlement d’exécution de la LTaxis du 21 janvier 2005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w:t>
      </w:r>
    </w:p>
    <w:p>
      <w:r>
        <w:t>- 6/7 - A/4202/2011 amené à modifier le montant, voire à en rembourser une partie, selon l'issue du litige alors en cours (ATA/379/2012 du 12 juin 2012).</w:t>
      </w:r>
    </w:p>
    <w:p>
      <w:r>
        <w:t>C'est cette seconde hypothèse qui est réalisée en l'espèce, le Scom ayant encaissé un montant de CHF 82'500.-, dont seule la perception de CHF 40'000.- était légalement justifiée. Le solde de CHF 42'500.- doit ainsi être restitué, avec intérêt à 5 % dès le 12 août 2010.</w:t>
      </w:r>
    </w:p>
    <w:p>
      <w:r>
        <w:rPr>
          <w:b/>
        </w:rPr>
        <w:t>E. 6</w:t>
      </w:r>
    </w:p>
    <w:p>
      <w:r>
        <w:t>Au vu ce qui précède, le recours doit être admis et la décision du Scom annulée. Malgré l’issue du litige, aucun émolument ne sera mis à la charge du Scom (art. 87 al. 1 LPA). Une indemnité de procédure de CHF 1'500.-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