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ATA/496/2012 vom 31. Juli 2012</w:t>
      </w:r>
    </w:p>
    <w:p>
      <w:r>
        <w:t>GE Cour de justice, 2012-07-31, FR</w:t>
      </w:r>
    </w:p>
    <w:p>
      <w:r>
        <w:rPr>
          <w:b/>
        </w:rPr>
        <w:t xml:space="preserve">Quelle: </w:t>
      </w:r>
      <w:r>
        <w:t>https://mcp.opencaselaw.ch/entscheid/ge_gerichte_ATA_496_2012</w:t>
      </w:r>
    </w:p>
    <w:p>
      <w:r>
        <w:t>FR: GE_GERICHTE ATA/496/2012 du 31 juillet 2012</w:t>
      </w:r>
    </w:p>
    <w:p>
      <w:r>
        <w:t>IT: GE_GERICHTE ATA/496/2012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- 4/7 - A/4197/2011</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- 5/7 - A/4197/2011</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L'art. 21 al. 6 du règlement d’exécution de la LTaxis du 21 janvier 2005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 ouverte par la Haute Cour, dès lors que dans ces deux hypothèses, le principe de la légalité s'appliquerait strictement. Or, la LTaxis, et en particulier l'art. 21 al. 6 LTaxis, ne fixe pas une assiette précise de la taxe. Les critères de fixation - notamment la fourchette du montant de la taxe - et les modalités de perception ne figurent pas dans la loi. Il s'ensuit que l'arrêté ne reposait pas sur une base légale formelle.</w:t>
      </w:r>
    </w:p>
    <w:p>
      <w:r>
        <w:rPr>
          <w:b/>
        </w:rPr>
        <w:t>E. 5</w:t>
      </w:r>
    </w:p>
    <w:p>
      <w:r>
        <w:t>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w:t>
      </w:r>
    </w:p>
    <w:p>
      <w:r>
        <w:t>Ce raisonnement ne peut être suivi en l'espèce. Il ressort des considérants de l'ATF 2C_609/2010 que, dépourvu de base légale ab initio, l'arrêté - qui a été attaqué dans les trente jours dès sa promulgation pour ce motif - est vicié de telle manière qu'il ne peut en aucune manière constituer une cause valable de perception du montant de CHF 82'500.-, cela de son adoption à son annulation. La lecture de l'ordonnance est d'ailleurs éloquente sur ce point, l'effet suspensif n'ayant pas été accordé au recours au motif notamment qu'en cas de succès de celui-ci, l'Etat de Genève était à même de rembourser les montants indûment perçus.</w:t>
      </w:r>
    </w:p>
    <w:p>
      <w:r>
        <w:t>Peu importe que le recourant ait accepté la proposition de se voir délivrer le permis sollicité alors que le Scom indiquait que la taxe unique à acquitter était de CHF 82'500.-, et ait versé ce montant, dès lors que le système légal subordonne la délivrance de ce permis au versement de cette taxe. Contrairement à la</w:t>
      </w:r>
    </w:p>
    <w:p>
      <w:r>
        <w:t>- 6/7 - A/4197/2011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 sont remplies par la requérant. Dans ce contexte, au vu de l'argumentation développée par les auteurs du recours devant le Tribunal fédéral et du contenu de l'ordonnance, le Scom ne pouvait ignorer qu'il pouvait être amené à modifier le montant, voire à en rembourser une partie, selon l'issue du litige alors en cours (ATA/379/2012 du 12 juin 2012).</w:t>
      </w:r>
    </w:p>
    <w:p>
      <w:r>
        <w:t>C'est cette seconde hypothèse qui est réalisée en l'espèce, le Scom ayant encaissé un montant de CHF 82'500.-, dont seule la perception de CHF 40'000.- était légalement justifiée. Le solde de CHF 42'500.- doit ainsi être restitué, avec intérêt à 5 % dès le 27 octobre 2010.</w:t>
      </w:r>
    </w:p>
    <w:p>
      <w:r>
        <w:rPr>
          <w:b/>
        </w:rPr>
        <w:t>E. 6</w:t>
      </w:r>
    </w:p>
    <w:p>
      <w:r>
        <w:t>Au vu ce qui précède, le recours doit être admis et la décision du Scom annulée. Malgré l’issue du litige, aucun émolument ne sera mis à la charge du Scom (art. 87 al. 1 LPA). Une indemnité de procédure de CHF 1'500.-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