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ATA/495/2013 vom 2. August 2013</w:t>
      </w:r>
    </w:p>
    <w:p>
      <w:r>
        <w:t>GE Cour de justice, 2013-08-02, FR</w:t>
      </w:r>
    </w:p>
    <w:p>
      <w:r>
        <w:rPr>
          <w:b/>
        </w:rPr>
        <w:t xml:space="preserve">Quelle: </w:t>
      </w:r>
      <w:r>
        <w:t>https://mcp.opencaselaw.ch/entscheid/ge_gerichte_ATA_495_2013</w:t>
      </w:r>
    </w:p>
    <w:p>
      <w:r>
        <w:t>FR: GE_GERICHTE ATA/495/2013 du 2 août 2013</w:t>
      </w:r>
    </w:p>
    <w:p>
      <w:r>
        <w:t>IT: GE_GERICHTE ATA/495/2013 del 2 agosto 2013</w:t>
      </w:r>
    </w:p>
    <w:p>
      <w:pPr>
        <w:pStyle w:val="Heading2"/>
      </w:pPr>
      <w:r>
        <w:t>Erwägungen</w:t>
      </w:r>
    </w:p>
    <w:p>
      <w:r>
        <w:rPr>
          <w:b/>
        </w:rPr>
        <w:t>E. 1</w:t>
      </w:r>
    </w:p>
    <w:p>
      <w:r>
        <w:t>La compétence pour ordonner la restitution de l’effet suspensif au recours appartient au président de la chambre administrative (art. 7 ch. 1 du règlement interne de la chambre administrative du 21 décembre 2010, entré en vigueur le 1er janvier 2011).</w:t>
      </w:r>
    </w:p>
    <w:p>
      <w:r>
        <w:rPr>
          <w:b/>
        </w:rPr>
        <w:t>E.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celui-là (art. 66 al. 2 LPA).</w:t>
      </w:r>
    </w:p>
    <w:p>
      <w:r>
        <w:rPr>
          <w:b/>
        </w:rPr>
        <w:t>E.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w:t>
      </w:r>
    </w:p>
    <w:p>
      <w:r>
        <w:t>- 4/5 - A/1322/2013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w:t>
      </w:r>
    </w:p>
    <w:p>
      <w:r>
        <w:rPr>
          <w:b/>
        </w:rPr>
        <w:t>E. 4</w:t>
      </w:r>
    </w:p>
    <w:p>
      <w:r>
        <w:t>Ni le statut ni le CO auquel il renvoie à titre de droit public supplétif ne permettent à la chambre administrative d’imposer la réintégration d’un agent public dont les rapports de service ont été réalisés.</w:t>
      </w:r>
    </w:p>
    <w:p>
      <w:r>
        <w:rPr>
          <w:b/>
        </w:rPr>
        <w:t>E. 5</w:t>
      </w:r>
    </w:p>
    <w:p>
      <w:r>
        <w:t>Le bien-fondé des griefs du recourant ne ressortent pas d’un examen prima facie des pièces de la procédure.</w:t>
      </w:r>
    </w:p>
    <w:p>
      <w:r>
        <w:rPr>
          <w:b/>
        </w:rPr>
        <w:t>E. 6</w:t>
      </w:r>
    </w:p>
    <w:p>
      <w:r>
        <w:t>Dans sa détermination, l’autorité intimée a clairement indiqué qu’elle n’entendait pas poursuivre les relations de travail avec le recourant.</w:t>
      </w:r>
    </w:p>
    <w:p>
      <w:r>
        <w:rPr>
          <w:b/>
        </w:rPr>
        <w:t>E. 7</w:t>
      </w:r>
    </w:p>
    <w:p>
      <w:r>
        <w:t>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(ATA/263/2013 du 26 avril 2013 ; ATA/107/2012 du 22 février 2012 ; ATA/92/2012 du 17 février 2012).</w:t>
      </w:r>
    </w:p>
    <w:p>
      <w:r>
        <w:rPr>
          <w:b/>
        </w:rPr>
        <w:t>E. 8</w:t>
      </w:r>
    </w:p>
    <w:p>
      <w:r>
        <w:t>La demande de restitution de l’effet suspensif sera ainsi rejetée, le sort des frais de la cause étant réservé jusqu’à droit jugé au fond.</w:t>
      </w:r>
    </w:p>
    <w:p>
      <w:r>
        <w:t>LA CHAMBRE ADMINISTRATIVE rejette la demande de restitution de l’effet suspensif ; réserve le sort des frais de la cause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Thierry Sticher, avocat du recourant ainsi qu'à Me François Bellanger, avocat de la Ville de Carouge.</w:t>
      </w:r>
    </w:p>
    <w:p>
      <w:r>
        <w:t>- 5/5 - A/1322/2013</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