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ATA/495/2011 vom 27. Juli 2011</w:t>
      </w:r>
    </w:p>
    <w:p>
      <w:r>
        <w:t>GE Cour de justice, 2011-07-27, FR</w:t>
      </w:r>
    </w:p>
    <w:p>
      <w:r>
        <w:rPr>
          <w:b/>
        </w:rPr>
        <w:t xml:space="preserve">Quelle: </w:t>
      </w:r>
      <w:r>
        <w:t>https://mcp.opencaselaw.ch/entscheid/ge_gerichte_ATA_495_2011</w:t>
      </w:r>
    </w:p>
    <w:p>
      <w:r>
        <w:t>FR: GE_GERICHTE ATA/495/2011 du 27 juillet 2011</w:t>
      </w:r>
    </w:p>
    <w:p>
      <w:r>
        <w:t>IT: GE_GERICHTE ATA/495/2011 del 27 luglio 2011</w:t>
      </w:r>
    </w:p>
    <w:p>
      <w:pPr>
        <w:pStyle w:val="Heading2"/>
      </w:pPr>
      <w:r>
        <w:t>Regeste</w:t>
      </w:r>
    </w:p>
    <w:p>
      <w:r>
        <w:t>Résumé: Incompétence de la chambre administrative pour trancher des litiges relatifs au statut de maître en formation (MEF) ou de maître stagiaire en responsabilité. Transmission du recours au Conseil d'Etat pour raison de compétence.</w:t>
      </w:r>
    </w:p>
    <w:p>
      <w:pPr>
        <w:pStyle w:val="Heading2"/>
      </w:pPr>
      <w:r>
        <w:t>Erwägungen</w:t>
      </w:r>
    </w:p>
    <w:p>
      <w:r>
        <w:rPr>
          <w:b/>
        </w:rPr>
        <w:t>E. 1</w:t>
      </w:r>
    </w:p>
    <w:p>
      <w:r>
        <w:t>a. Selon l’art. 132 al. 1 de la loi sur l'organisation judiciaire du 26 septembre 2010 (LOJ - E 2 05), la chambre administrative est l’autorité supérieure ordinaire de recours en matière administrative. Elle peut être saisie des décisions des autorités et juridictions administratives, sous réserve d’exceptions prévues par la loi.</w:t>
      </w:r>
    </w:p>
    <w:p>
      <w:r>
        <w:t>b. L’art. 131 de la loi sur l’instruction publique du 6 novembre 1940 (LIP - C 2 10) donne au Conseil d’Etat la compétence d’instaurer un recours préalable hiérarchique pour les décisions concernant les membres du personnel soumis à ladite loi.</w:t>
      </w:r>
    </w:p>
    <w:p>
      <w:r>
        <w:t>c. Le règlement fixant le statut des membres du corps enseignant primaire, secondaire et tertiaire ne relevant pas des hautes écoles du 12 juin 2002 (RStCE - B 5 10 04) prévoit que, sous réserve des recours concernant certaines sanctions disciplinaires, les certificats de travail et la résiliation des rapports de service, les décisions concernant le personnel enseignant peuvent faire l’objet d’un recours au Conseil d’Etat ; seule la décision sur recours de cette autorité peut être portée devant la chambre administrative. Cette règle s’applique tant aux maîtresses et maîtres stagiaires en responsabilité dans l’enseignement secondaire général,</w:t>
      </w:r>
    </w:p>
    <w:p>
      <w:r>
        <w:t>- 4/5 - A/1016/2011 depuis la modification du RStCE du 9 juin 2010 (art 112 RStCE), qu’aux MEF, selon le texte en vigueur antérieurement à cette date (art. 97 aRStCE).</w:t>
      </w:r>
    </w:p>
    <w:p>
      <w:r>
        <w:t>De plus, la voie de recours pour les personnes bénéficiant de la disposition transitoire figurant à l’art. 167 ch. 2 RStCE, introduite lors de la modification du règlement du 9 juin 2010, est identique.</w:t>
      </w:r>
    </w:p>
    <w:p>
      <w:r>
        <w:rPr>
          <w:b/>
        </w:rPr>
        <w:t>E. 2</w:t>
      </w:r>
    </w:p>
    <w:p>
      <w:r>
        <w:t>Au vu de ce qui précède, la chambre administrative n’est pas compétente pour traiter du recours de Mme F______, quel que soit le statut de l’intéressée.</w:t>
      </w:r>
    </w:p>
    <w:p>
      <w:r>
        <w:t>Il sera en conséquence déclaré irrecevable, et transmis au Conseil d’Etat (art. 64 LPA).</w:t>
      </w:r>
    </w:p>
    <w:p>
      <w:r>
        <w:rPr>
          <w:b/>
        </w:rPr>
        <w:t>E. 3</w:t>
      </w:r>
    </w:p>
    <w:p>
      <w:r>
        <w:t>Au vu de cette issue, aucun émolument ne sera mis à la charge des parties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