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ATA/494/2024 vom 16. April 2024</w:t>
      </w:r>
    </w:p>
    <w:p>
      <w:r>
        <w:t>GE Cour de justice, 2024-04-16, FR</w:t>
      </w:r>
    </w:p>
    <w:p>
      <w:r>
        <w:rPr>
          <w:b/>
        </w:rPr>
        <w:t xml:space="preserve">Quelle: </w:t>
      </w:r>
      <w:r>
        <w:t>https://mcp.opencaselaw.ch/entscheid/ge_gerichte_ATA_494_2024</w:t>
      </w:r>
    </w:p>
    <w:p>
      <w:r>
        <w:t>FR: GE_GERICHTE ATA/494/2024 du 16 avril 2024</w:t>
      </w:r>
    </w:p>
    <w:p>
      <w:r>
        <w:t>IT: GE_GERICHTE ATA/494/2024 del 16 aprile 2024</w:t>
      </w:r>
    </w:p>
    <w:p>
      <w:pPr>
        <w:pStyle w:val="Heading2"/>
      </w:pPr>
      <w:r>
        <w:t>Erwägungen</w:t>
      </w:r>
    </w:p>
    <w:p>
      <w:r>
        <w:rPr>
          <w:b/>
        </w:rPr>
        <w:t>E. 1</w:t>
      </w:r>
    </w:p>
    <w:p>
      <w:r>
        <w:t>let. a de la loi sur la procédure administrative du 12 septembre 1985 - LPA – E 5 10).</w:t>
      </w:r>
    </w:p>
    <w:p>
      <w:r>
        <w:rPr>
          <w:b/>
        </w:rPr>
        <w:t>E. 2</w:t>
      </w:r>
    </w:p>
    <w:p>
      <w:r>
        <w:t>L'acte de recours est libellé au nom de A______ et de ses deux filles.</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w:t>
      </w:r>
    </w:p>
    <w:p>
      <w:r>
        <w:t>- 8/16 - A/3088/2022</w:t>
      </w:r>
    </w:p>
    <w:p>
      <w:r>
        <w:rPr>
          <w:b/>
        </w:rPr>
        <w:t>E. 2.2</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Un intérêt purement théorique à la solution d'un problème est de même insuffisant (ATF 144 I 43 consid. 2.1). Tel est le cas notamment si le recours vise les motifs de la décision et que, même admis, il n'y aurait pas lieu d'en modifier le dispositif (ATF 137 I 296 consid. 4.2 ; arrêt du Tribunal fédéral 2C_1067/2014 du 18 mars 2016 consid. 2.2.2 ; ATA/346/2023 du 4 avril 2023 consid. 3a).</w:t>
      </w:r>
    </w:p>
    <w:p>
      <w:r>
        <w:rPr>
          <w:b/>
        </w:rPr>
        <w:t>E. 2.3</w:t>
      </w:r>
    </w:p>
    <w:p>
      <w:r>
        <w:t>Cet intérêt doit encore être direct. Selon la jurisprudence, un intérêt seulement indirect à l'annulation ou à la modification de la décision attaquée n'est pas suffisant (ATF 138 V 292 consid. 4). Le recourant doit démontrer que sa situation factuelle ou juridique peut être avantageusement influencée par l’issue du recours (ATA/14/2022 du 11 févier 2022 consid. 5c). Tel n’est pas le cas de celui qui n’est atteint que de manière indirecte, médiate, ou encore « par ricochet » (ATF 135 I 43 consid. 1.4 ; 133 V 239 consid. 6.2 ; ATA/1821/2019 du 17 décembre 2019). Un intérêt seulement indirect à l’annulation ou à la modification de la décision attaquée n’est pas suffisant (ATF 138 V 292 consid. 4 ; arrêts du Tribunal fédéral 1B_446/2020 du 27 avril 2021 consid. 3.3 ; 1C_665/2013 du 24 mars 2014 consid. 3.1 ; ATA/898/2023 du 22 août 2023 consid. 2.1 ; ATA/868/2022 du 30 août 2022 consid. 4c).</w:t>
      </w:r>
    </w:p>
    <w:p>
      <w:r>
        <w:rPr>
          <w:b/>
        </w:rPr>
        <w:t>E. 2.4</w:t>
      </w:r>
    </w:p>
    <w:p>
      <w:r>
        <w:t>En l'espèce, le TAPI a indiqué dans les considérants de son jugement que seul le recours interjeté par A______, à savoir la débitrice des droits d'enregistrement litigieux, était recevable. Toutefois, en rejetant dans son dispositif le recours en tant qu'il était recevable, le TAPI est entré en matière sur le recours des trois recourantes et l'a rejeté. Cela étant, son raisonnement sur l'irrecevabilité du recours en tant que formé par C______et B______ne prête pas le flanc à la critique. En effet, le litige porte sur un impôt dont elles ne sont pas les débitrices. Elles n'ont ainsi qu'un intérêt au mieux indirect – et donc insuffisant – à l'annulation de la décision de taxation (qui porte sur la mise à charge de droits d'enregistrement et non sur une constatation en matière de partage de la succession), si bien que leur recours sera déclaré irrecevable.</w:t>
      </w:r>
    </w:p>
    <w:p>
      <w:r>
        <w:t>- 9/16 - A/3088/2022 Il sera en revanche entré en matière sur le recours de A______, qui est recevable.</w:t>
      </w:r>
    </w:p>
    <w:p>
      <w:r>
        <w:rPr>
          <w:b/>
        </w:rPr>
        <w:t>E. 3</w:t>
      </w:r>
    </w:p>
    <w:p>
      <w:r>
        <w:t>Le litige porte sur la conformité au droit du bordereau de droits d’enregistrement du 21 octobre 2021 pour un montant de CHF 7'678.90 en raison de la liquidation du régime matrimonial.</w:t>
      </w:r>
    </w:p>
    <w:p>
      <w:r>
        <w:rPr>
          <w:b/>
        </w:rPr>
        <w:t>E. 3.1</w:t>
      </w:r>
    </w:p>
    <w:p>
      <w:r>
        <w:t>Les droits d’enregistrement sont un impôt qui frappe toute pièce, constatation, déclaration, condamnation, convention, transmission, cession et en général toute opération ayant un caractère civil ou judiciaire, dénommées « actes et opérations », soumises soit obligatoirement soit facultativement à la formalité de l’enregistrement ; ils sont perçus par l’administration de l’enregistrement et des droits de succession du canton de Genève (ci-après : administration de l’enregistrement ; art. 1 al. 1 LDE). Sont notamment soumis obligatoirement à l’enregistrement les actes, écrits et pièces portant partage de successions ouvertes dans le canton de Genève (art. 3 let. f LDE), ainsi que les actes, écrits et pièces portant attribution de biens résultant de changement ou de liquidation d’un régime matrimonial lorsque les époux, ou l’un d’entre eux, sont domiciliés ou résident dans le canton de Genève (art. 3 let. g LDE). Le transfert au conjoint survivant ou l’inscription à son nom, en propriété, en nue-propriété ou en usufruit, de droits successoraux autres que ceux que lui attribuent la dévolution légale ou les dispositions testamentaires, est soumis aux dispositions de la LDE (art. 11 al. 4 LDE).</w:t>
      </w:r>
    </w:p>
    <w:p>
      <w:r>
        <w:rPr>
          <w:b/>
        </w:rPr>
        <w:t>E. 3.2</w:t>
      </w:r>
    </w:p>
    <w:p>
      <w:r>
        <w:t>Selon l’art. 8 LDE, est déterminante pour la fixation des droits la nature réelle des actes et opérations ainsi que celle des stipulations qui y sont contenues (al. 1). Lorsque dans un acte ou une opération quelconque, il existe plusieurs dispositions indépendantes ou ne découlant pas nécessairement les unes des autres, chacune d’elles, selon sa nature, est soumise au droit fixé par la LDE (al. 2). Tout acte ou opération qui ne contient que l’exécution ou la confirmation d’actes ou opérations antérieurement enregistrés, ne supporte qu’un droit fixe de CHF 2.- (al. 3). Il en est de même des actes refaits entre les mêmes parties, à la condition qu’aucun changement ne soit apporté ni à la nature des conventions, ni aux biens qui en font l’objet, ni aux valeurs stipulées (al. 4). Le droit fixe est dû autant de fois qu’il y a de personnes ayant un intérêt distinct qui paraissent dans un acte, sauf si elles agissent en qualité de cohéritiers, de coassociés, de copropriétaires, de colocataires ou de codébiteurs (al. 5). Il appartient à celui qui prétend bénéficier d’une réduction ou d’une exonération de droits de fournir toutes justifications nécessaires et d’en faire état dans l’acte soumis à l’enregistrement (al. 6). Cette déclaration est également obligatoire en cas de nouvelle donation (al. 7). La perception des droits proportionnels et progressifs suit les sommes et valeurs de CHF 10.- en 10.- inclusivement et sans fraction, sans que, dans aucun cas, ce droit puisse être inférieur à CHF 2.- (al. 8). Sous réserve des exceptions prévues par la LDE, les droits d’enregistrement sont définitivement acquis à l’État de Genève et ne peuvent être restitués (al. 9).</w:t>
      </w:r>
    </w:p>
    <w:p>
      <w:r>
        <w:t>- 10/16 - A/3088/2022 À teneur de l’art. 62 al. 1 LDE, sous réserve de l’exception mentionnée à l’art. 6 let. t LDE, est soumis obligatoirement à l’enregistrement au droit de 1‰ et au minimum de CHF 10.- : le partage entre héritiers de biens dépendant d’une succession, quelle que soit leur nature, y compris ceux qui sont soumis au rapport (let. a) ; et le partage des biens matrimoniaux existant au moment du changement ou de la liquidation du régime matrimonial, que ce partage ait lieu après le décès de l’un des conjoints ou de leur vivant (let. b). L’art. 67 LDE prévoit que l’acte de mutation en copropriété entre héritiers d’immeubles dépendant d’une succession n’est pas soumis au droit de partage, mais à un droit fixe de CHF 10.-, à condition toutefois que l’inscription au RF soit faite conformément aux droits successoraux des héritiers (al. 1). L’acte de mutation en communauté héréditaire, en communauté prolongée ou en communauté en liquidation n’est taxé qu’au même droit fixe (al. 2). Les biens faisant l’objet du partage successoral, du changement ou de la liquidation du régime matrimonial sont taxés à leur valeur vénale à la date du partage, du changement ou de la liquidation du régime matrimonial, sans tenir compte du passif successoral ou matrimonial ; les biens qui font l’objet d’un rapport sont taxés à la valeur admise pour la perception des droits de succession (art. 63 LDE). Si la constitution ou le transfert de servitude ne donne pas lieu à perception d’un droit proportionnel, il est perçu un droit fixe de CHF 2.- par propriétaire intéressé ayant un intérêt distinct (art. 47 al. 3 LDE).</w:t>
      </w:r>
    </w:p>
    <w:p>
      <w:r>
        <w:rPr>
          <w:b/>
        </w:rPr>
        <w:t>E. 3.3</w:t>
      </w:r>
    </w:p>
    <w:p>
      <w:r>
        <w:t>D’après l’art. 138 LDE, les parties sont tenues de faire enregistrer tous les actes et opérations ainsi que les déclarations de transfert et d’autres opérations dont l’enregistrement est obligatoire en application de la LDE (al. 1). Cette obligation incombe solidairement au donateur et au donataire, aux cohéritiers en matière de partage successoral et aux époux dont le régime matrimonial est modifié ou liquidé (al. 2).</w:t>
      </w:r>
    </w:p>
    <w:p>
      <w:r>
        <w:rPr>
          <w:b/>
        </w:rPr>
        <w:t>E. 3.4</w:t>
      </w:r>
    </w:p>
    <w:p>
      <w:r>
        <w:t>Selon les travaux préparatoires du projet de loi 2'859 sur les droits d'enregistrement (ci-après : PL 2'859), «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 entre colégataires, codonataires, entre copropriétaires (art. 646 et 651 CC) ou propriétaires en commun (art. 652 et 654 CCS) » (MGC 1965 II 905).</w:t>
      </w:r>
    </w:p>
    <w:p>
      <w:r>
        <w:rPr>
          <w:b/>
        </w:rPr>
        <w:t>E. 3.5</w:t>
      </w:r>
    </w:p>
    <w:p>
      <w:r>
        <w:t>Le régime de la participation aux acquêts est dissous au jour du décès d’un époux ou au jour du contrat adoptant un autre régime (art. 204 al. 1 CC). Chaque époux reprend ceux de ses biens qui sont en possession de son conjoint (art. 205 al. 1 CC).</w:t>
      </w:r>
    </w:p>
    <w:p>
      <w:r>
        <w:t>- 11/16 - A/3088/2022 Le régime de la communauté de biens est dissous au jour du décès d’un époux, au jour du contrat adoptant un autre régime ou au jour de la déclaration de faillite d’un époux (art. 236 al. 1 CC). Lorsque la communauté de biens prend fin par le décès d’un époux ou par l’adoption d’un autre régime, elle se partage par moitié entre les époux ou leurs héritiers (art. 241 al. 1 CC). La dissolution met fin au régime et ouvre la voie à la liquidation de celui-ci. C’est le moment de la dissolution qui est décisif pour déterminer la composition des masses de biens en vue de la liquidation ; les biens qui entrent dans le patrimoine des époux après ce moment, de même que les dettes qui naissent postérieurement à cette date, ne sont en principe pas pris en considération. Lorsqu’elle est nécessaire, l’évaluation de ces biens a au contraire lieu à l’époque de la liquidation du régime (Paul-Henri STEINAUER, in Pascal PICHONNAZ/Bénédict FOËX/Denis PIOTET [éd.], Commentaire romand - Code civil I, 2010, n. 3 ad art. 204).</w:t>
      </w:r>
    </w:p>
    <w:p>
      <w:r>
        <w:t>La liquidation du régime matrimonial doit nécessairement précéder celle de la succession. En effet, les biens laissés par un époux à son décès comprennent ses créances contre le conjoint, en particulier son éventuelle créance de participation au bénéfice de l’union conjugale. De même, les dettes de l’époux décédé comprennent celles envers le conjoint, en particulier ce qu’il doit éventuellement à celui-ci au titre de participation au bénéfice de l’union conjugale. Ces créances, respectivement des dettes, sont établies, avant la liquidation de la succession proprement dite, par la liquidation du régime matrimonial entre les héritiers de l’époux décédé et le conjoint survivant. Cette opération préalable a un caractère matrimonial, et non successoral (Paul-Henri STEINAUER, op. cit., n. 5 ad art. 204). La liquidation du régime matrimonial de la participation aux acquêts débute avec la dissociation des patrimoines des époux, suivie de la reprise de ses biens propres par chacun des époux, puis de l’établissement du compte d’acquêts de chaque époux, avant de se terminer par la répartition des bénéfices et l’établissement éventuel d’un état final des créances entre époux (art. 205 ss CC) ; pour le régime de la communauté de biens, le mode de partage est prévu aux art. 243 ss CC.</w:t>
      </w:r>
    </w:p>
    <w:p>
      <w:r>
        <w:rPr>
          <w:b/>
        </w:rPr>
        <w:t>E. 3.6</w:t>
      </w:r>
    </w:p>
    <w:p>
      <w:r>
        <w:t>Selon l’art. 602 CC,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(al. 2). À la demande de l’un des héritiers, l’autorité compétente peut désigner un représentant de la communauté héréditaire jusqu’au moment du partage (al. 3). D’après l’art. 473 CC, quel que soit l’usage qu’il fait de la quotité disponible, le conjoint ou le partenaire enregistré peut, par disposition pour cause de mort, laisser au survivant l’usufruit de toute la part dévolue à leurs descendants communs (al. 1). Cet usufruit tient lieu du droit de succession attribué par la loi au conjoint ou au partenaire enregistré survivant en concours avec ces descendants. Outre cet usufruit, la quotité disponible est de la moitié de la succession (al. 2).</w:t>
      </w:r>
    </w:p>
    <w:p>
      <w:r>
        <w:t>- 12/16 - A/3088/2022 En acceptant le legs d’usufruit, le conjoint perd le droit de demander sa réserve en propriété. Cet usufruit tient lieu du droit de succession attribué par la loi. Cette acceptation a également comme effet que, lorsque l’usufruit porte sur toute la succession, le conjoint n’a pas la qualité d’héritier, mais uniquement celle de légataire. Dans ce cas, le conjoint n’est pas membre de la communauté héréditaire et ne répond pas des dettes du de cujus (Paul-Henri STEINAUER in Pascal PICHONNAZ/Bénédict FOËX/Denis PIOTET [éd.], Commentaire romand - Code civil II, 2016, n. 9 ad art. 473 CC). Entre le moment de l’ouverture de la succession et celui du partage, les héritiers forment une communauté héréditaire ou hoirie, dont eux seuls font partie (Jean GUINAND/Martin STETTLER/Audrey LEUBA, Droit des successions, 6e éd., 2005, n. 425).</w:t>
      </w:r>
    </w:p>
    <w:p>
      <w:r>
        <w:rPr>
          <w:b/>
        </w:rPr>
        <w:t>E. 3.7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w:t>
      </w:r>
    </w:p>
    <w:p>
      <w:r>
        <w:rPr>
          <w:b/>
        </w:rPr>
        <w:t>E. 3.8</w:t>
      </w:r>
    </w:p>
    <w:p>
      <w:r>
        <w:t>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Droit fiscal suisse, 5e éd., 2021, p. 69).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69).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(Jean-Marc RIVIER, Droit fiscal suisse, Neuchâtel 1998, p. 522).</w:t>
      </w:r>
    </w:p>
    <w:p>
      <w:r>
        <w:t>- 13/16 - A/3088/2022</w:t>
      </w:r>
    </w:p>
    <w:p>
      <w:r>
        <w:rPr>
          <w:b/>
        </w:rPr>
        <w:t>E. 3.9</w:t>
      </w:r>
    </w:p>
    <w:p>
      <w:r>
        <w:t>Dans un jugement récent du 28 juin 2021 (JTAPI/662/2021) que l'intimée a appliqué à la présente cause pour rendre sa décision sur réclamation, le TAPI a retenu que le décès de l’époux impliquait en soi la dissolution et la liquidation du régime matrimonial. Pour pouvoir requérir du RF l’inscription des opérations instrumentées par l’acte notarié en question intitulé « déclaration de mutation cadastrale et délivrance de legs testamentaire d’un usufruit », lesquelles ne concernaient qu’un élément appartenant à la masse successorale, il fallait tout d’abord déterminer dans quelle mesure l’immeuble en faisait partie, ce qui impliquait nécessairement la liquidation préalable du régime matrimonial. En ces circonstances, seule l’épouse du défunt était débitrice et responsable des droits d’enregistrement sur cette liquidation (art. 163 al. 2 LDE) et elle était tenue de la déclarer à l’enregistrement (art. 138 LDE), ce qu’elle n’avait pas fait. Ce jugement a été confirmé par la chambre de céans dans l'ATA/567/2023 du 30 mai 2023, entré en force. Dans un autre arrêt (ATA/286/2021 du 2 mars 2021), la chambre de céans a retenu que l’art. 62 al. 1 let. b LDE, se rapportant à la liquidation du régime matrimonial, ne s’appliquait pas au régime de la séparation de biens.</w:t>
      </w:r>
    </w:p>
    <w:p>
      <w:r>
        <w:rPr>
          <w:b/>
        </w:rPr>
        <w:t>E. 3.10</w:t>
      </w:r>
    </w:p>
    <w:p>
      <w:r>
        <w:t>En l'espèce, il n'y a pas lieu de revenir sur la jurisprudence de l'ATA/567/2023. La recourante et son époux défunt étaient certes mariés sous le régime de la communauté de biens, mais cela ne change rien dans le cas particulier, d'une part car les deux régimes connaissent une dissolution à la mort de l'un des conjoints (et, comme l'a relevé le TAPI, comme indiqué dans le testament du 24 avril 2003, les époux AD______ ont stipulé « qu'au décès du premier d'entre eux, la communauté de biens devra se partager par moitié »), et d'autre part car, s'agissant du bien immobilier concerné, les deux époux étaient chacun inscrit au RF comme propriétaire pour moitié. En outre, comme relevé par le TAPI, la déclaration de succession de feu D______ du 19 mai 2021 fait état d’un actif successoral brut de CHF 3'656'174.- et, après une « déduction pour liquidation du régime matrimonial » de CHF 1'528'087.-, d’un actif successoral net de CHF 1'528'087.-, ce qui démontre que la détermination du montant des biens respectifs des époux et leur partage sont intervenus avant le dépôt de cette déclaration. Ainsi, contrairement à ce que prétend la recourante, il ne peut être considéré que l’acte de mutation de la propriété de l’immeuble a été enregistré sans qu’il y ait eu de liquidation du régime matrimonial, le premier n’ayant pu être effectué sans la seconde. Il était donc conforme au droit de taxer, sur la base de l'art. 62 al. 1 let. b LDE, la liquidation dudit régime. Le fait qu'il n'existe aucun acte écrit manifestant la volonté de la recourante de procéder immédiatement après le décès de son mari à une liquidation du régime matrimonial des époux n'est à cet égard pas pertinent, la LDE déployant ses effets, à teneur de son art. 1, à des actes mais aussi à des opérations qui ne sont pas forcément écrites, comme le suggère du reste l'emploi des mots « déclaration » ou « constatation ». Retenir le contraire, comme</w:t>
      </w:r>
    </w:p>
    <w:p>
      <w:r>
        <w:t>- 14/16 - A/3088/2022 le souhaiterait la recourante, reviendrait à avantager – sans aucune raison objective – les conjoints survivants ne procédant pas par écrit à une liquidation de leur régime matrimonial.</w:t>
      </w:r>
    </w:p>
    <w:p>
      <w:r>
        <w:rPr>
          <w:b/>
        </w:rPr>
        <w:t>E. 4</w:t>
      </w:r>
    </w:p>
    <w:p>
      <w:r>
        <w:t>La recourante prétend faire l'objet d'un changement de pratique inconstitutionnel, du fait que « pendant des dizaines d'années, la mutation des droits immobiliers du défunt aux noms de ses héritiers ne donnait pas lieu à la perception de droits d'enregistrement de partage aussi longtemps qu'une telle opération n'était pas effectivement intervenue, ceci même si les conjoints étaient soumis à un régime de participation aux acquêts, de copropriété ou de communauté de biens », pratique qui avait été « bouleversée par la jurisprudence résultant de l'arrêt [recte : du jugement] JTAPI/6662/2021 ».</w:t>
      </w:r>
    </w:p>
    <w:p>
      <w:r>
        <w:rPr>
          <w:b/>
        </w:rPr>
        <w:t>E. 4.1</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(ATA/515/2023 du 16 mai 2023 consid. 3.1 ; ATA/557/2022 du 24 mai 2022 consid. 11a).</w:t>
      </w:r>
    </w:p>
    <w:p>
      <w:r>
        <w:rPr>
          <w:b/>
        </w:rPr>
        <w:t>E. 4.2</w:t>
      </w:r>
    </w:p>
    <w:p>
      <w:r>
        <w:t>Pour être compatible avec les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w:t>
      </w:r>
    </w:p>
    <w:p>
      <w:r>
        <w:rPr>
          <w:b/>
        </w:rPr>
        <w:t>E. 4.3</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Ainsi, le contribuable ne peut bénéficier d'un traitement dérogeant à la loi que si les conditions prévues par la jurisprudence – qui doivent être interprétées de façon stricte – sont remplies de manière claire et sans équivoque (arrêts du Tribunal fédéral 2C_461/2021 du 19 janvier 2022 consid. 5.1 ; 2C_603/2012 du 10 décembre 2012 consid. 4).</w:t>
      </w:r>
    </w:p>
    <w:p>
      <w:r>
        <w:rPr>
          <w:b/>
        </w:rPr>
        <w:t>E. 4.4</w:t>
      </w:r>
    </w:p>
    <w:p>
      <w:r>
        <w:t>En l'espèce, dans la mesure où ce n'est pas l'intimée elle-même qui a choisi de changer de pratique, mais où ledit changement provient d'une décision judiciaire, on peut douter que les conditions ci-dessus pour un changement de pratique administrative soient applicables. On ne conçoit en effet pas qu'une autorité</w:t>
      </w:r>
    </w:p>
    <w:p>
      <w:r>
        <w:t>- 15/16 - A/3088/2022 administrative puisse conserver sa pratique lorsqu'une autorité judiciaire de recours la censure. Quoi qu'il en soit, la recourante ne démontre pas l'existence de la pratique qu'elle dit avoir prévalu pendant plusieurs décennies. De plus, comme on l'a vu, la décision de taxation litigieuse a appliqué correctement la loi, le principe de légalité devant en l'espèce l'emporter sur le droit au maintien d'une pratique administrative. Enfin, la décision de taxation porte sur l'imposition de la liquidation préalable du régime matrimonial et non sur un partage successoral en tant que tel. Dans ces conditions, on ne saurait y voir un changement de pratique inconstitutionnel. Le grief sera écarté. Entièrement mal fondé, le recours de A______ sera rejeté.</w:t>
      </w:r>
    </w:p>
    <w:p>
      <w:r>
        <w:rPr>
          <w:b/>
        </w:rPr>
        <w:t>E. 5</w:t>
      </w:r>
    </w:p>
    <w:p>
      <w:r>
        <w:t>Vu l'issue du litige, un émolument de CHF 1'500.- sera mis à la charge solidaire des recourantes,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