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ATA/494/2014 vom 25. Juni 2014</w:t>
      </w:r>
    </w:p>
    <w:p>
      <w:r>
        <w:t>GE Cour de justice, 2014-06-25, FR</w:t>
      </w:r>
    </w:p>
    <w:p>
      <w:r>
        <w:rPr>
          <w:b/>
        </w:rPr>
        <w:t xml:space="preserve">Quelle: </w:t>
      </w:r>
      <w:r>
        <w:t>https://mcp.opencaselaw.ch/entscheid/ge_gerichte_ATA_494_2014</w:t>
      </w:r>
    </w:p>
    <w:p>
      <w:r>
        <w:t>FR: GE_GERICHTE ATA/494/2014 du 25 juin 2014</w:t>
      </w:r>
    </w:p>
    <w:p>
      <w:r>
        <w:t>IT: GE_GERICHTE ATA/494/2014 del 25 giugno 2014</w:t>
      </w:r>
    </w:p>
    <w:p>
      <w:pPr>
        <w:pStyle w:val="Heading2"/>
      </w:pPr>
      <w:r>
        <w:t>Erwägungen</w:t>
      </w:r>
    </w:p>
    <w:p>
      <w:r>
        <w:rPr>
          <w:b/>
        </w:rPr>
        <w:t>E. 26</w:t>
      </w:r>
    </w:p>
    <w:p>
      <w:r>
        <w:t>septembre 2010 - LOJ - E 2 05 ; art. 10 al. 1 de la loi d’application de la LEtr du 16 juin 1988 - LaLEtr - F 2 10 ; art. 17 et 62 al. 1 let. b de la loi sur la procédure administrative du 12 septembre 1985 - LPA - E 5 10). 2)</w:t>
      </w:r>
    </w:p>
    <w:p>
      <w:r>
        <w:t>Selon l’art. 10 al. 2 LaLEtr, la chambre administrative doit statuer dans les dix jours qui suivent sa saisine. Ayant reçu le recours le 17 juin 2014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5)</w:t>
      </w:r>
    </w:p>
    <w:p>
      <w:r>
        <w:t>En l’espèce, le recourant fait l’objet d’une décision fédérale de renvoi de Suisse, définitive et exécutoire.</w:t>
      </w:r>
    </w:p>
    <w:p>
      <w:r>
        <w:t>Son refus de quitter la Suisse et d’embarquer à bord d’un vol à destination du Togo établit l’existence d’un risque de fuite ou de disparition. On peut en effet considérer que, s’il était en liberté, le recourant se réfugierait dans la clandestinité pour échapper à son rapatriement. M. A______ refuse de collaborer pour</w:t>
      </w:r>
    </w:p>
    <w:p>
      <w:r>
        <w:t>- 8/11 - A/1581/2014 organiser son retour et n’a entrepris aucune démarche. Il a, à plusieurs reprises, affirmé s’opposer à son renvoi. Les circonstances qu’il allègue en lien avec MEET ont été analysées dans le précédent arrêt de la chambre de céans ainsi que par l’ODM il y a quelques jours seulement. Cette autorité a refusé d’en tenir compte pour la demande de reconsidération, estimant qu’elles avaient une valeur probante moindre. L’attestation du MEET n’était pas convaincante et laissait à penser qu’elle serait un faux document. Le contenu était étonnant en ce sens que le MEET aurait été plus au courant de la situation familiale que la propre sœur du recourant.</w:t>
      </w:r>
    </w:p>
    <w:p>
      <w:r>
        <w:t>Dans ces circonstances, au vu de la ferme détermination de M. A______ de s’opposer à son renvoi, la mise en détention administrative sur la base de l’art. 76 al. 1 let. b ch. 3 et 4 LEtr est fondée. 6) a. L’autorité administrative doit entreprendre rapidement les démarches permettant l’exécution de la décision de renvoi (art. 76 al. 4 LEtr). La détention administrative doit respecter le principe de la proportionnalité, garanti par l’art. 36 al. 3 de la Cst. Par ailleurs, la détention en vue de renvoi ne peut excéder six mois au total (art. 79 al. 1 LEtr). La durée maximale de la détention peut, avec l’accord de l’autorité judiciaire cantonale, être prolongée de douze mois au plus notamment si la personne concernée ne coopère pas avec l’autorité compétente (art. 79 al. 2 let. a LEtr).</w:t>
      </w:r>
    </w:p>
    <w:p>
      <w:r>
        <w:t>b. Le recourant a été placé en détention administrative le 8 avril 2014. Dès lors que la détention est due à son absence de coopération avec les autorités chargées de l’exécution de son renvoi, la décision de prolonger la détention administrative - qui s’inscrit dans le cadre des dix-huit mois de détention autorisés - respecte le cadre légal. 7)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 collaborer de l’art. 90 al. 1 let. c LEtr (ATA/381/2012 du 13 juin 2012 ; ATA/283/2012 du 8 mai 2012 ; ATA/257/2012 du 2 mai 2012).</w:t>
      </w:r>
    </w:p>
    <w:p>
      <w:r>
        <w:t>- 9/11 - A/1581/2014</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d. En l’espèce, le recourant allègue que son renvoi au Togo le mettrait dans une situation dangereuse à l’instar de sa femme et son fils. Son renvoi ne serait pas possible ou pas exigible.</w:t>
      </w:r>
    </w:p>
    <w:p>
      <w:r>
        <w:t>Conformément à la jurisprudence, tant que l’impossibilité du renvoi dépend de la volonté de l’étranger de collaborer avec les autorités, celui-ci ne peut se prévaloir de cette impossibilité. Tel est le cas en l’espèce, le recourant refusant de collaborer, de partir ou d’entreprendre les démarches lui-même pour faciliter son départ. Il s’est de surcroît opposé physiquement violemment à ce qu’il soit placé dans un vol en direction du Togo. L’ODM a refusé d’entrer en matière sur les nouveaux arguments développés par M. A______, identiques à ceux allégués dans la présente procédure, estimant qu’ils n’étaient pas crédibles, insuffisamment documentés, voire que certains documents laissaient à penser qu’il s’agissait de faux. Il n’y a aucune raison de remettre en question l’analyse faite par l’ODM dans la demande de reconsidération. Les arguments du recourant relatifs au MEET ont déjà été analysés par la chambre de céans dans son arrêt du 2 mai 2014, soit il y un peu plus d’un mois (ATA/315/2014). Celle-ci avait considéré, à l’instar de l’ODM quelques jours plus tard, que les allégations du recourant ne reposaient pas sur des éléments de preuve suffisants et, en tout état de cause, ne démontraient pas que le recourant était menacé en cas de retour dans son pays. Référence était faite aux allégations relatives aux craintes de sa compagne, qui n’avaient pas été considérées comme crédibles par le TAF.</w:t>
      </w:r>
    </w:p>
    <w:p>
      <w:r>
        <w:t>L’exécution du renvoi ne contrevient donc pas à l’art. 80 LEtr. 8)</w:t>
      </w:r>
    </w:p>
    <w:p>
      <w:r>
        <w:t>Le maintien en détention administrative est dès lors conforme au principe de proportionnalité, aucune mesure moins incisive ne permettant d’assurer la présence de l’intéressé le jour où l’exécution du renvoi pourrait avoir lieu. 9)</w:t>
      </w:r>
    </w:p>
    <w:p>
      <w:r>
        <w:t>Mal fondé, le recours sera donc rejeté.</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- 10/11 - A/1581/2014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