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ATA/493/2014 vom 25. Juni 2014</w:t>
      </w:r>
    </w:p>
    <w:p>
      <w:r>
        <w:t>GE Cour de justice, 2014-06-25, FR</w:t>
      </w:r>
    </w:p>
    <w:p>
      <w:r>
        <w:rPr>
          <w:b/>
        </w:rPr>
        <w:t xml:space="preserve">Quelle: </w:t>
      </w:r>
      <w:r>
        <w:t>https://mcp.opencaselaw.ch/entscheid/ge_gerichte_ATA_493_2014</w:t>
      </w:r>
    </w:p>
    <w:p>
      <w:r>
        <w:t>FR: GE_GERICHTE ATA/493/2014 du 25 juin 2014</w:t>
      </w:r>
    </w:p>
    <w:p>
      <w:r>
        <w:t>IT: GE_GERICHTE ATA/493/2014 del 25 giugno 2014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2010 - LOJ - E 2 05 ; art. 10 al. 1 de la loi d’application de la LEtr du 16 juin 1988 - LaLEtr - F 2 10 ; art. 17 et 62 al. 1 let. b de la loi sur la procédure administrative du 12 septembre 1985 - LPA - E 5 10). 2)</w:t>
      </w:r>
    </w:p>
    <w:p>
      <w:r>
        <w:t>Selon l’art. 10 al. 2 LaLEtr, la chambre administrative doit statuer dans les dix jours qui suivent sa saisine. Ayant reçu le recours le 17 juin 2014 et statuant ce jour, elle respecte ce délai. 3)</w:t>
      </w:r>
    </w:p>
    <w:p>
      <w:r>
        <w:t>La chambre administrative est compétente pour apprécier l’opportunité des décisions portées devant elle (art. 10 al. 2 LaLEtr). Elle peut confirmer, réformer ou annuler la décision attaquée ; cas échéant, elle ordonne la mise en liberté de l’étranger (art. 10 al. 3 LaLEtr). 4) a. L’étranger qui a fait l’objet d’une décision de renvoi peut être mis en détention administrative si des éléments concrets font craindre qu’il entend se soustraire à son expulsion, en particulier parce qu’il ne se soumet pas à son obligation de collaborer au sens de l’art. 90 LEtr ou de l’art. 8 al. 1 let. a ou al. 4 de la loi sur l’asile (LAsi - RS 142.31 ; art. 76 al. 1 let. b ch. 3 LEtr). Il en va de même si son comportement permet de conclure qu’il se refuse à obtempérer aux instructions des autorités (art. 76 al. 1 let. b ch. 4 LEtr).</w:t>
      </w:r>
    </w:p>
    <w:p>
      <w:r>
        <w:t>L’art. 76 al. 1 let. b ch. 3 et 4 LEtr décrit des comportements permettant de conclure à l’existence d’un risque de fuite ou de disparition. Ces deux éléments doivent donc être envisagés ensemble (Arrêt du Tribunal fédéral 2C_128/2009 du</w:t>
      </w:r>
    </w:p>
    <w:p>
      <w:r>
        <w:rPr>
          <w:b/>
        </w:rPr>
        <w:t>E. 30</w:t>
      </w:r>
    </w:p>
    <w:p>
      <w:r>
        <w:t>juillet 1986 - RFPA - E 5 10.03). Vu l’issue du litige, il ne sera pas alloué d'indemnité de procédure (art. 87 al. 2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