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ATA/491/2021 vom 11. Mai 2021</w:t>
      </w:r>
    </w:p>
    <w:p>
      <w:r>
        <w:t>GE Cour de justice, 2021-05-11, FR</w:t>
      </w:r>
    </w:p>
    <w:p>
      <w:r>
        <w:rPr>
          <w:b/>
        </w:rPr>
        <w:t xml:space="preserve">Quelle: </w:t>
      </w:r>
      <w:r>
        <w:t>https://mcp.opencaselaw.ch/entscheid/ge_gerichte_ATA_491_2021</w:t>
      </w:r>
    </w:p>
    <w:p>
      <w:r>
        <w:t>FR: GE_GERICHTE ATA/491/2021 du 11 mai 2021</w:t>
      </w:r>
    </w:p>
    <w:p>
      <w:r>
        <w:t>IT: GE_GERICHTE ATA/491/2021 del 11 maggio 2021</w:t>
      </w:r>
    </w:p>
    <w:p>
      <w:pPr>
        <w:pStyle w:val="Heading2"/>
      </w:pPr>
      <w:r>
        <w:t>Regeste</w:t>
      </w:r>
    </w:p>
    <w:p>
      <w:r>
        <w:t>Résumé: Octroi d'une autorisation d'aliéner une part de PPE (appartement) confirmée par le TAPI. La venderesse est devenue propriétaire de l'appartement dans le cadre d'une fraude à la loi ayant permis de se soustraire à la nécessité d'une autorisation d'aliéner, de sorte que son inscription au registre foncier est matériellement viciée. La sécurité du droit s'oppose néanmoins à la constatation de la nullité de cette inscription, de sorte que la venderesse est effectivement propriétaire de l'appartement qu'elle souhaite aujourd'hui aliéner. Pesée des intérêts pour déterminer si l'autorisation sollicitée devait être délivrée : examen des dettes invoquées par la venderesse, prise en compte du contexte de fraude à la loi et de l'impact de la délivrance d'une autorisation d'aliéner, qui permettrait à l'acteur principal de ladite fraude, initialement propriétaire de l'entier de l'immeuble, de redevenir propriétaire de l'appartement, mais individualisé, après validation par autorisation d'aliéner. Intérêt public prépondérant. Recours admis et autorisation d'aliéner annulée.</w:t>
      </w:r>
    </w:p>
    <w:p>
      <w:pPr>
        <w:pStyle w:val="Heading2"/>
      </w:pPr>
      <w:r>
        <w:t>Erwägungen</w:t>
      </w:r>
    </w:p>
    <w:p>
      <w:r>
        <w:rPr>
          <w:b/>
        </w:rPr>
        <w:t>E. 12</w:t>
      </w:r>
    </w:p>
    <w:p>
      <w:r>
        <w:t>septembre 1985 - LPA - E 5 10). 2)</w:t>
      </w:r>
    </w:p>
    <w:p>
      <w:r>
        <w:t>La recourante conclut à la constatation que le partage-attribution du lot de PPE no 4______ du 23 décembre 2013 entre G______ et Mme A______ a fait l'objet d'une fraude à la loi et à ce qu'il soit ordonné à l'autorité intimée de rétablir une situation conforme au droit, en procédant, en tant qu'autorité de surveillance du RF, à la réinscription de G______ en tant que propriétaire du lot de PPE et en radiant Mme A______.</w:t>
      </w:r>
    </w:p>
    <w:p>
      <w:r>
        <w:t>a. L'acte de recours contient, sous peine d'irrecevabilité, la désignation de la décision attaquée et les conclusions de la recourante ou du recourant (art. 65 al. 1 LPA). L'acte de recours contient également l'exposé des motifs ainsi que l'indication des moyens de preuve (art. 65 al. 2 1ère phr.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ATA/1628/2019 du 5 novembre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w:t>
      </w:r>
    </w:p>
    <w:p>
      <w:r>
        <w:t>- 10/24 - A/451/2020 ne peut pas prendre, dans son mémoire de recours, des conclusions qui sortent du cadre des questions traitées dans la procédure antérieure (ATA/1628/2019 précité consid. 2b).</w:t>
      </w:r>
    </w:p>
    <w:p>
      <w:r>
        <w:t>c. En l'espèce, la recourante n'a jamais soumis ses demandes à l'autorité intimée et celles-ci ne font pas l'objet de la décision litigieuse, qui porte exclusivement sur la délivrance à la venderesse de l'autorisation d'aliéner l'appartement no 4______ à l'acquéreuse.</w:t>
      </w:r>
    </w:p>
    <w:p>
      <w:r>
        <w:t>Les conclusions de la recourante ayant trait au transfert du lot de PPE survenu le 23 décembre 2013 et au rétablissement d'une situation conforme au droit sont par conséquent exorbitantes au litige et à ce titre irrecevables. 3)</w:t>
      </w:r>
    </w:p>
    <w:p>
      <w:r>
        <w:t>Toutefois, même si elles n'ont pas été formulées comme telles, ces conclusions peuvent être comprises comme des conclusions en constatation de la nullité de l'inscription de Mme A______ au RF, point sur lequel l'argumentation des parties a porté. La nullité devant être constatée en tout temps et d'office, il convient d'examiner cette question, la qualité de propriétaire de l'appartement de la venderesse étant par ailleurs déterminante à la résolution du présent litige.</w:t>
      </w:r>
    </w:p>
    <w:p>
      <w:r>
        <w:t>a. L’inscription au grand livre du RF consacre l'admission de la réquisition d'inscription audit registre et constitue une décision au sens de l’art. 4 al. 1 let. a LPA (ATA/79/2015 précité consid. 12b).</w:t>
      </w:r>
    </w:p>
    <w:p>
      <w:r>
        <w:t>b.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 arrêt du Tribunal fédéral 6B_354/2015 du 20 janvier 2016 consid. 4.1). 4)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de la loi sur les démolitions, transformations et rénovations de maisons d'habitation [mesures de soutien en faveur des locataires et de l'emploi] du 25 janvier 1996 - LDTR -</w:t>
      </w:r>
    </w:p>
    <w:p>
      <w:r>
        <w:t>- 11/24 - A/451/2020 L 5 20).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w:t>
      </w:r>
    </w:p>
    <w:p>
      <w:r>
        <w:t>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son propriétaire actuel (let. b), ou l'appartement occupé, lors du dépôt de la requête en autorisation d'aliéner, par son propriétaire, si celui-ci a précédemment loué l'appartement considéré (let. c). Nonobstant la teneur de l'art. 11 al. 3 RDTR, une autorisation d'aliéner doit impérativement être requise en cas de vente d'un ou plusieurs appartement(s) acquis par voie d'adjudication (art. 11 al. 4 RDTR).</w:t>
      </w:r>
    </w:p>
    <w:p>
      <w:r>
        <w:t>c. Les catégories de logements où sévit la pénurie sont déterminées chaque année par arrêté du Conseil d'État en fonction du nombre de pièces par appartement (art. 11 al. 1 RDTR). Le Conseil d'État a constaté en 2013, 2019, 2020 et 2021 qu'il y avait pénurie, au sens des art. 25 et 39 LDTR, dans toutes les catégories des appartements d'une à sept pièces inclusivement (arrêtés du Conseil d'État déterminant les catégories de logements où sévit la pénurie en vue de l'application des art. 25 à 39 LDTR des 20 mars 2013, 19 décembre 2018, 1er juillet 2020 et 9 décembre 2020 - ArAppart - L 5 20.03). 5) a. Le DT autorise l'aliénation d'un appartement si celui-ci a été dès sa construction soumis au régime de la PPE ou à une forme de propriété analogue, sous réserve du régime applicable à l'aliénation d'appartements destinés à la vente régi par l'art. 8A de loi générale sur les zones de développement du 29 juin 1957 (LGZD - L 1 35), cette réserve ayant été ajoutée dans le texte légal le 19 novembre 2016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w:t>
      </w:r>
    </w:p>
    <w:p>
      <w:r>
        <w:t>- 12/24 - A/451/2020</w:t>
      </w:r>
    </w:p>
    <w:p>
      <w:r>
        <w:t>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(ATA/725/2020 du 4 août 2020 consid. 2f ; ATA/870/2019 du 7 mai 2019 consid. 4b)</w:t>
      </w:r>
    </w:p>
    <w:p>
      <w:r>
        <w:t>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w:t>
      </w:r>
    </w:p>
    <w:p>
      <w:r>
        <w:t>Dans le cadre de l'examen de la requête en autorisation, le DT procède à la pesée des intérêts publics et privés en présence (art. 13 al. 1 RDTR).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w:t>
      </w:r>
    </w:p>
    <w:p>
      <w:r>
        <w:t>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w:t>
      </w:r>
    </w:p>
    <w:p>
      <w:r>
        <w:t>- 13/24 - A/451/2020 approche stricte de la protection conférée par cette loi pour éviter une telle atteinte par des « ventes à la découpe ». Ainsi, même en cas de vente en bloc, l'aliénateur doit justifier d'un intérêt privé particulier (arrêt du Tribunal fédéral 1C_137/2011 précité consid. 3.3). 6) a. Le principe de la bonne foi entre administration et administré, exprimé aux art. 9 et 5 al. 3 de la Constitution fédérale de la Confédération suisse du 18 avril 1999 (Cst. - RS 101),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2ème éd., 2018, n. 568 p. 203). 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du 23 novembre 2017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7)</w:t>
      </w:r>
    </w:p>
    <w:p>
      <w:r>
        <w:t>Celui qui acquiert la propriété ou d’autres droits réels en se fondant de bonne foi sur une inscription du RF, est maintenu dans son acquisition (art. 973 al. 1 du code civil suisse du 10 décembre 1907 - CC - RS 210). 8)</w:t>
      </w:r>
    </w:p>
    <w:p>
      <w:r>
        <w:t>La chambre administrative a déjà été amenée à examiner la nullité d'un partage-attribution en raison de l'absence d'autorisation d'aliéner. Le vice était grave, mais non facilement décelable, puisque le conservateur avait procédé à l'enregistrement de l'acte de partage-attribution sans exiger les autorisations de vente (consid. 9d). Du point de vue de la sécurité du droit, l'exécutabilité de la nullité des partages-attributions serait extrêmement problématique, notamment du fait que l'appartement en cause avait été vendu à des tiers, inscrits au RF. L'application du constat de nullité créerait dans la pratique une situation inextricable au vu du temps écoulé et de la bonne foi des nouveaux propriétaires (consid. 9e). La nullité ne pouvait donc être constatée (consid. 10 ; ATA/255/2010 du 20 avril 2010).</w:t>
      </w:r>
    </w:p>
    <w:p>
      <w:r>
        <w:t>- 14/24 - A/451/2020 9)</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1C_454/2017 du 16 mai 2018 consid. 4.1 ; ATA/844/2020 du 1er septembre 2020 consid. 4a). En matière de production de documents, l'art. 24 al. 2 LPA précise expressément que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10) En l'espèce, la recourante conteste l'inscription de Mme A______ au RF car elle serait intervenue grâce à une fraude à la loi. L'autorité et les intimées affirment quant à elles que le transfert de la part de PPE à Mme A______ en décembre 2013 serait intervenu conformément à la pratique alors en vigueur. Les intimées soutiennent également que l'aliénation des actions, la transformation en SIAL et les transferts antérieurs au changement de pratique n'auraient jamais fait l'objet de critiques par les juridictions administratives.</w:t>
      </w:r>
    </w:p>
    <w:p>
      <w:r>
        <w:t>En se prévalant d'une aliénation conforme à l'ancienne pratique de l'autorité intimée, les intimées reconnaissent que l'appartement no 4______ constitue un appartement dont l'aliénation était, en 2013, en principe soumise à autorisation conformément à l'art. 39 al. 1 LDTR, ce que confirme le dossier. Il s'agit en effet d'un appartement de quatre pièces au sein d'un immeuble initialement entièrement propriété de M. D______ puis de G______, et donc offert à la location.</w:t>
      </w:r>
    </w:p>
    <w:p>
      <w:r>
        <w:t>Or, si, comme l'affirment les intimées, l'aliénation de la part de PPE de G______ à son actionnaire, Mme A______, a pu aboutir à l'inscription de cette dernière au RF sans qu'une autorisation d'aliéner soit exigée, c'est parce que ladite aliénation apparaissait intervenir dans le cadre d'une opération visant à liquider la SIAL et à transformer l'actionnaire en propriétaire d'une unité d'étages, sans changement de détentrice économique, ce qui donnait l'apparence de cas d'application de l'ancienne pratique de l'autorité intimée (ATA/577/2017 précité consid. 6).</w:t>
      </w:r>
    </w:p>
    <w:p>
      <w:r>
        <w:t>- 15/24 - A/451/2020</w:t>
      </w:r>
    </w:p>
    <w:p>
      <w:r>
        <w:t>Toutefois, si, comme le soulignent les intimées, la situation de Mme A______ n'a pas fait l'objet de l'ATA/577/2017 et de l'arrêt du Tribunal fédéral 1C_361/2017 précités, l'opération s'inscrit néanmoins dans le même complexe de faits que celui prévalant dans ces arrêts : cession par M. D______ des actions de la société dont il était alors administrateur avec signature individuelle, G______, à une cessionnaire, soit dans le présent cas, Mme A______, le 5 juin 2012, puis vente de l'immeuble par M. D______ à la société dont il est administrateur dix jours plus tard, le 15 juillet 2012, puis transformation de la même société en SIAL dix jours plus tard, le 25 juin 2012, puis soumission de l'immeuble au régime de la PPE quatre jours plus tard, le 29 juin 2012, jour marquant également le passage de M. D______ au statut d'administrateur président avec signature individuelle de G______, puis finalement, transfert du lot de PPE à l'actionnaire quelques mois plus tard, en l'occurrence Mme A______ le 23 décembre 2013. La situation concerne ainsi les mêmes opérations, le même immeuble et les mêmes protagonistes, en relation avec un appartement et une acquéreuse distincts. Elle s'inscrit donc dans le contexte du même montage mis sur pied dès l'origine dans le but de contourner la LDTR et donc de fraude à la loi constatés dans ces arrêts (arrêt du Tribunal fédéral 1C_361/2017 consid. 4.4 ; ATA/577/2017 précité consid. 7), étant à cet égard relevé que contrairement à ce qu'affirment les recourantes, l'aliénation des actions et la transformation en SIAL ont bel et bien été remises en cause par les juridictions administratives, qui les ont considérées s'inscrire dans le contexte global de fraude à la loi. La principale différence du cas d'espèce par rapport aux arrêts précités est que le transfert de la part de PPE a été effectué avant la note du RF du 9 avril 2014 et que, grâce à la situation créée artificiellement pour rentrer dans un cas d'application de l'ancienne pratique de l'autorité intimée, la nouvelle propriétaire a ainsi été inscrite au RF sans qu'une autorisation d'aliéner n'ait été exigée. La fraude à la loi a ainsi été menée à son terme, la globalité des opérations ayant abouti au changement de propriétaire au sens juridique et à l'individualisation de l'appartement sans autorisation.</w:t>
      </w:r>
    </w:p>
    <w:p>
      <w:r>
        <w:t>S'agissant d'une fraude à la loi, la norme éludée – et donc la soumission à autorisation d'aliéner – aurait dû être appliquée nonobstant la construction juridique destinée à la contourner, et ceci même si le transfert de la part de PPE a eu lieu avant le changement de pratique. Il aurait donc dû y avoir soumission à autorisation d'aliéner et l'inscription au grand livre du RF a eu lieu en violation de la LDTR.</w:t>
      </w:r>
    </w:p>
    <w:p>
      <w:r>
        <w:t>Or, si de telles opérations ont été mises sur pied pour éviter de solliciter une autorisation d'aliéner, c'est précisément parce que les protagonistes, professionnels de l'immobilier sous réserve de Mme A______, savaient qu'aucun des cas de délivrance figurant à l'art. 39 al. 3 et 4 LDTR n'était réalisé, qu'ils ne pouvaient se prévaloir d'aucun intérêt justifiant la grave atteinte à l'intérêt public à la protection du parc locatif causée par l'individualisation de l'appartement et donc qu'ils ne</w:t>
      </w:r>
    </w:p>
    <w:p>
      <w:r>
        <w:t>- 16/24 - A/451/2020 pourraient obtenir d'autorisation d'aliéner, ce qui a d'ailleurs été le cas pour les appartements pour lesquels ils ont été contraints d'en solliciter une (arrêt du Tribunal fédéral 1C_361/2017 consid. 5 ; ATA/577/2017 précité consid. 8c).</w:t>
      </w:r>
    </w:p>
    <w:p>
      <w:r>
        <w:t>Il découle de ce qui précède que la décision d'admission de la réquisition d'inscription de Mme A______ au RF était matériellement viciée. Ce vice est particulièrement grave, puisqu'il consacre une violation de la LDTR obtenue par la mise en place d'une fraude à la loi effectuée au mépris total des buts de ladite loi.</w:t>
      </w:r>
    </w:p>
    <w:p>
      <w:r>
        <w:t>Par ailleurs, si le vice n'est à première vue pas manifeste, l'autorité intimée ayant procédé à l'inscription de Mme A______ sans se rendre compte de la nécessité d'une autorisation d'aliéner, c'est précisément en raison de l'ensemble d'opérations successives ayant pour but de cacher la nécessité d'une autorisation d'aliéner mis sur pied. Or, face à une simple vente de la part de PPE de G______ à Mme A______ – ce à quoi correspond en définitive l'intégralité du montage –, la nécessité d'une autorisation d'aliéner aurait été évidente, de sorte que le vice doit être considéré comme manifeste. Une conclusion contraire reviendrait d'ailleurs à récompenser la fraude à la loi et à empêcher tout constat de nullité en raison précisément de la tromperie mise sur pied.</w:t>
      </w:r>
    </w:p>
    <w:p>
      <w:r>
        <w:t>Sur le plan de la sécurité du droit, contrairement à ce qu'ont retenu l'autorité intimée et le TAPI, Mme A______ n'est pas une acquéreuse de bonne foi, puisqu'elle est au contraire partie prenante à la fraude à la loi. Elle a en effet acheté des actions de G______, ceci alors même qu'il ne s'agissait alors pas d'acheter une part de PPE, ni même des actions dans une SIAL, ni même des actions d'une société propriétaire d'un immeuble, mais simplement des actions d'une société – puisque G______ a acquis l'immeuble, alors non encore constitué sous forme de PPE, et a été transformée en SIAL postérieurement à l'achat des actions –, pour ensuite se voir transférer la propriété de l'appartement, sans que l'acte de transfert de la part de PPE ne stipule un prix de vente, mais uniquement la remise du certificat d'actions. Ces éléments dénotent que Mme A______ était partie prenante à la fraude à la loi, ayant initialement acheté les actions dans le but de devenir, à terme, propriétaire de l'appartement. Cette conclusion doit d'autant plus être retenue que les documents dont la production a été ordonnée à deux reprises et qui auraient certainement permis de confirmer ces éléments n'ont pas été versés à la procédure, ceci en violation du devoir de collaboration des intimées. .</w:t>
      </w:r>
    </w:p>
    <w:p>
      <w:r>
        <w:t>Néanmoins, le dernier acte de l'ensemble des opérations de fraude à la loi remonte au 23 décembre 2013, Mme A______ étant inscrite au RF depuis plus de sept ans. Par ailleurs, les ATA/948/2014 et ATA/79/2015 précités – qui précisent spécifiquement qu'il revient, en cas de fraudes à la loi et d'absence de réalisation des conditions de délivrance des autorisations d'aliéner, à l'autorité intimée de statuer – remontent à décembre 2014 et janvier 2015, tandis que l'ATA/577/2017</w:t>
      </w:r>
    </w:p>
    <w:p>
      <w:r>
        <w:t>- 17/24 - A/451/2020 et l'arrêt du Tribunal fédéral 1C_361/2017 précités – qui confirment l'existence de fraudes à la loi – datent de 2017. Même si ces procédures ne concernent pas Mme A______ et l'appartement no 4______, ils concernent G______, l'immeuble et le même complexe de faits. Or, malgré ces différentes procédures, qui ont établi, d'une part, le rôle à jouer par l'autorité intimée s'agissant des transferts déjà inscrits au RF et, d'autre part, l'existence de fraudes à la loi, l'autorité intimée n'a entrepris aucune démarche relative aux inscriptions au RF intervenues en fraude à la loi, et notamment à l'inscription de Mme A______, ayant uniquement agi quant aux inscriptions non encore finalisées et sur le plan d'une amende administrative (ATA/186/2021 du 23 février 2021 dans la cause A/3155/2019). Vu le temps écoulé depuis l'inscription de Mme A______ au RF et le fait que l'autorité intimée n'est ni intervenue, s'agissant des transferts déjà inscrits au RF, depuis les ATA/948/2014 et ATA/79/2015 précités, ni même depuis l'ATA/577/2017 et l'arrêt du Tribunal fédéral 1C_361/2017 précités, la sécurité du droit s'oppose à la constatation de la nullité de l'inscription au RF de Mme A______.</w:t>
      </w:r>
    </w:p>
    <w:p>
      <w:r>
        <w:t>Dans ces circonstances, la nullité de l'inscription de Mme A______ ne peut être constatée, cette dernière étant devenue propriétaire de l'appartement no 4______, pour lequel elle sollicite à présent une autorisation d'aliéner. 11) Reste dès lors à examiner si l'autorité intimée était fondée à autoriser Mme A______ à vendre l'appartement à B______.</w:t>
      </w:r>
    </w:p>
    <w:p>
      <w:r>
        <w:t>a. L'autorité intimée et le TAPI ont directement procédé à la pesée des intérêts selon l'art. 39 al. 2 LDTR, aucun des cas de délivrance d'autorisation d'aliéner selon l'art. 39 al. 4 LDTR n'étant réalisé, conclusion non remise en cause devant la chambre administrative et que rien au dossier ne vient contredire.</w:t>
      </w:r>
    </w:p>
    <w:p>
      <w:r>
        <w:t>b. Les intérêts qui s'opposent sont, d'une part, les intérêts privés de la venderesse à aliéner l'appartement no 4______ et ceux de l'acquéreuse à l'acheter ainsi que, d'autre part, l'intérêt public à la protection du parc locatif genevois.</w:t>
      </w:r>
    </w:p>
    <w:p>
      <w:r>
        <w:t>Dans la décision litigieuse, l'autorité intimée a retenu que la cession des actions aurait dû faire l'objet d'une autorisation d'aliéner, mais que cela n'avait pas été le cas, que la venderesse ne possédait que ce seul appartement dans l'immeuble, que ledit appartement était loué et que l'acquéreuse s'était engagée à reprendre les droits et obligations découlant du bail – ce qui permettait de préserver l'intérêt public à la protection du parc locatif – et que l'opération intervenait en vue d'assainir la situation financière de la venderesse, pour finalement délivrer l'autorisation d'aliéner. Le TAPI a quant à lui retenu que même si les dettes de CHF 800'000.- alléguées par la venderesse devaient être sujettes à caution, l'intérêt privé de cette dernière à pouvoir exercer ses droits liés à la garantie de la propriété et à la liberté économique en n'étant pas contrainte de demeurer indéfiniment propriétaire d'un bien immobilier, ce qui impliquait des responsabilités juridiques et économiques et avait des incidences fiscales, devait</w:t>
      </w:r>
    </w:p>
    <w:p>
      <w:r>
        <w:t>- 18/24 - A/451/2020 l'emporter, en l'absence de modification du statut de l'appartement sur le marché locatif par l'aliénation projetée. 12) a. Mme A______ fait valoir, à l'appui de sa requête en autorisation d'aliéner sa situation financière catastrophique, la vente de l'appartement ayant pour but de lui permettre de résorber une grande partie de ses dettes.</w:t>
      </w:r>
    </w:p>
    <w:p>
      <w:r>
        <w:t>Il ressort de l'extrait des poursuites produit à l'appui de la requête en autorisation d'aliéner que la venderesse faisait l'objet, au 18 novembre 2019, de six actes de défaut de biens pour un total de CHF 29'482.49 et de nombreuses poursuites à différents stades pour un montant de CHF 55'964.20, principalement pour des dettes envers les administrations fédérales et cantonales, des assureurs-maladie et des sociétés de recouvrement. Par ailleurs, la venderesse se prévaut devant la chambre de céans d'une dette de CHF 687'833.37 – et non de CHF 830'000.- comme elle l'avait indiqué de manière erronée dans sa demande en autorisation d'aliéner, puis devant le TAPI – envers la régie C______.</w:t>
      </w:r>
    </w:p>
    <w:p>
      <w:r>
        <w:t>Or, les comptes produits pour établir cette dette apparaissent nébuleux.</w:t>
      </w:r>
    </w:p>
    <w:p>
      <w:r>
        <w:t>Il y apparaît un prêt comptabilisé au 1er octobre 2012 pour CHF 84'000.-, libellé « RZ – Prêt à HG pour approv.c/c action.G______ ». Cette somme semble constituer un prêt accordé dans le cadre de la cession des actions de G______. Cette dernière n'a toutefois pas eu lieu en octobre 2013 mais en juin 2012.</w:t>
      </w:r>
    </w:p>
    <w:p>
      <w:r>
        <w:t>Y apparaissent ensuite chaque trimestre des décomptes « H______ ______ », en débit et en crédit, pour des montants relativement importants, mais dont on ne comprend pas à quoi ils correspondent initialement, Mme A______ n'étant alors qu'actionnaire, voire actionnaire-locataire de G______ et s'agissant d'un compte auprès de la régie C______ et non de G______. Par ailleurs, ces décomptes sont libellés comme concernant le « (lot 4______), 100 % A______ » dès le 30 septembre 2013. Mme A______ est pourtant uniquement devenue propriétaire de la part de PPE le 23 décembre 2013.</w:t>
      </w:r>
    </w:p>
    <w:p>
      <w:r>
        <w:t>Au 30 septembre 2015 est comptabilisé un remboursement d’un prêt « 2013 », qui pourrait concerner soit le prêt contracté en 2012 soit un autre prêt qui ne figurerait pas dans ce compte, pour un montant de CHF 39'000.-. Un nouveau remboursement est comptabilisé le 24 décembre 2015, cette fois pour CHF 10'000.-.</w:t>
      </w:r>
    </w:p>
    <w:p>
      <w:r>
        <w:t>Le 22 mars 2016, un montant de CHF 70'000.- est inscrit au débit du compte, simplement libellé « A______ – Versement ». La fiche de l'ordre de paiement relatif à ce versement indique comme motif « Versement Titi » et un courriel de la comptabilité de la régie C______ désigne l’opération comme un nouveau prêt.</w:t>
      </w:r>
    </w:p>
    <w:p>
      <w:r>
        <w:t>- 19/24 - A/451/2020</w:t>
      </w:r>
    </w:p>
    <w:p>
      <w:r>
        <w:t>Apparaissent ensuite, le 28 juin 2016, une ligne de débit d'« Annulation rbt prêt HG » de CHF 36'000.- et une autre ligne de débit « Prêt Titi/rbt tif » de CHF 40'000.-. À fin juin 2017, le solde du compte débiteur est d'environ CHF 130'000.-. Ce montant a fait l'objet d'une reconnaissance de dette de Mme A______ le 7 juillet 2017, laquelle fixe des intérêts à 2 % dès le 1er juillet 2017, qui figurent ensuite chaque trimestre au débit. Une cédule hypothécaire au porteur a par ailleurs été constituée pour ce montant de CHF 130'000.- le 25 mai 2018.</w:t>
      </w:r>
    </w:p>
    <w:p>
      <w:r>
        <w:t>Finalement, le 1er octobre 2019, CHF 550'000.- sont comptabilisés au débit, avec le libellé « PZ Cédule 2ème rang », étant relevé que sur la cédule au porteur de CHF 130'000.- précitée sont mentionnés des droits de gage en parité de rang de CHF 520'000.-.</w:t>
      </w:r>
    </w:p>
    <w:p>
      <w:r>
        <w:t>Ces comptes présentent ainsi des inscriptions pour le moins surprenantes.</w:t>
      </w:r>
    </w:p>
    <w:p>
      <w:r>
        <w:t>Les seules explications fournies sur ces comptes l'ont été devant le TAPI : il s'agirait selon les intimées d'un prêt de « somme supplémentaire » de CHF 70'000.-, sans plus de précisions, de « sommes complémentaires dues par Mme A______ » (CHF 36'000.- et CHF 40'000.-), également sans plus de précisions, et de reprise par la régie C______ d'une dette de CHF 520'000.- envers l'épouse de M. D______, pour la garantie de laquelle aurait été constituée une cédule hypothécaire, là encore sans plus de précisions.</w:t>
      </w:r>
    </w:p>
    <w:p>
      <w:r>
        <w:t>Ces explications, pour le moins vagues, n'apportent pas plus d'éclairage sur le contenu insolite du compte débiteur de Mme A______ auprès de G______.</w:t>
      </w:r>
    </w:p>
    <w:p>
      <w:r>
        <w:t>La seule dette à l’égard de la régie C______ dont l'origine peut éventuellement être considérée comme établie, en dépit des incohérences de dates, est le premier prêt de CHF 84'000.- destiné à financer une partie du prix de vente des actions, par CHF 216'000.-.</w:t>
      </w:r>
    </w:p>
    <w:p>
      <w:r>
        <w:t>S'il n'est pas exclu que les prêts accordés ultérieurement l'aient été à titre de financement de l'appartement, le prêt initial ne couvrant que CHF 84'000.-, laissant un solde de CHF 132'000.-, leur origine et destination ne sont pas établies, ni même compréhensibles.</w:t>
      </w:r>
    </w:p>
    <w:p>
      <w:r>
        <w:t>Cela ne peut en tout état être le cas du montant de CHF 550'000.- figurant dans le compte. Celui-ci est excessivement élevé par rapport au prix de vente des actions et au solde de ce prix, par CHF 132'000.-, dont le financement n'est pas établi.</w:t>
      </w:r>
    </w:p>
    <w:p>
      <w:r>
        <w:t>L’origine de la dette de CHF 550'000.- n’est ainsi pas établie. Celle-ci est venue augmenter considérablement la dette de Mme A______ envers la régie C______ deux mois à peine avant la demande d'autorisation d'aliéner, cela alors qu’un montant similaire, de CHF 520'000.-, apparaissait déjà sur la cédule</w:t>
      </w:r>
    </w:p>
    <w:p>
      <w:r>
        <w:t>- 20/24 - A/451/2020 hypothécaire au porteur du 25 août 2018 en tant que droit de gage en parité de rang. Il sera sur ce point relevé que le total des droits de gages à teneur de la cédule hypothécaire du 25 mai 2018 s'élève à CHF 865'450.-, soit un montant bien supérieur au prix d'achat du certificat d'actions, par CHF 216'000.-, mais très similaire à celui fixé pour la vente de la part de PPE autorisée par la décision litigieuse, soit CHF 800'000.-.</w:t>
      </w:r>
    </w:p>
    <w:p>
      <w:r>
        <w:t>Au vu de ce qui précède, les dettes dont se prévaut Mme A______ envers la régie C______ ne peuvent qu'être qualifiées d'insolites.</w:t>
      </w:r>
    </w:p>
    <w:p>
      <w:r>
        <w:t>À cela s'ajoute le fait qu'il est pour le moins surprenant que Mme A______ n'invoque pas, à l'appui de sa demande en autorisation d'aliéner, la dette hypothécaire de CHF 175'250.- reprise lors du transfert de la part de PPE, dont on ignore ce qu'elle est advenue, un droit de gage de rang antérieur, d'un montant toutefois différent, soit CHF 215'450.-, figurant dans la cédule hypothécaire du 25 mai 2018. La reprise de cette dette hypothécaire était en soi également surprenante, vu que la valeur fiscale de l'appartement selon l'acte de transfert correspondait au prix de vente des actions, soit CHF 216'000.-, et que l'acte de vente ne prévoyait pas de prix de vente, mais simplement l'échange de la part de PPE contre le certificat d'actions, de sorte qu'il est difficile de comprendre pourquoi Mme A______ a repris la dette hypothécaire de G______ lors du transfert de la part de PPE.</w:t>
      </w:r>
    </w:p>
    <w:p>
      <w:r>
        <w:t>Finalement, il sera constaté que les dettes invoquées envers la régie C______, en elles-mêmes insolites, s'inscrivent par ailleurs dans un contexte bien particulier dont il ne peut être fait abstraction, soit le contexte de fraude à la loi.</w:t>
      </w:r>
    </w:p>
    <w:p>
      <w:r>
        <w:t>Ainsi, d'une part, le premier prêt accordé lors de la cession des actions est partie intégrante du montage constitutif de fraude à la loi. En effet, dans d'autres cas concernant le même montage pour d'autres sociétés de M. D______ et d'autres immeubles, le prêt opéré lors de la cession des actions, ici invoqué comme intérêt pour pouvoir aliéner l'appartement, a précisément été considéré comme un indice de plus de la fraude à la loi. Il opérait dans les faits, de par l'échéance fixée, un paiement en deux temps – le premier lors de la conclusion de l'acte de cession et le second lors du transfert des parts de PPE – et permettait à M. D______ de rester économiquement propriétaire des actions durant les étapes suivantes du montage mis sur pied, ce qui démontrait que le cédant n'était pas en marge du système mis en place mais y avait participé dès la conclusion de la cession (ATA/1333/2020 du 22 décembre 2020 consid. 9b ; ATA/1334/2020 du 22 décembre 2020 consid. 9b ; ATA/1335/2020 du 22 décembre 2020 consid. 9b ; ATA/1336/2020 du 22 décembre 2020 consid. 9b ; ATA/1337/2020 du 22 décembre 2020 consid. 9b ; ATA/1339/2020 du 22 décembre 2020 consid. 9b ; ATA/1340/2020 du 22 décembre 2020 consid. 9b ; ATA/1342/2020 du 22 décembre 2020 consid. 9b). Or, la demande de production de documents du juge délégué avait notamment pour objet d'examiner la situation du cas d'espèce à cet égard. Les intimées</w:t>
      </w:r>
    </w:p>
    <w:p>
      <w:r>
        <w:t>- 21/24 - A/451/2020 n'ayant, comme vu précédemment, pas donné suite à cette demande en dépit des deux délais impartis à cet effet, en violation de leur devoir de collaboration, la chambre administrative ne peut que retenir que le cas d'espèce ne s'écarte pas des cas similaires susmentionnés. Par conséquent, l'intérêt à rembourser ce prêt, élément de la fraude à la loi à laquelle Mme A______ a sciemment participé, ne peut être protégé.</w:t>
      </w:r>
    </w:p>
    <w:p>
      <w:r>
        <w:t>D'autre part, la globalité de la dette alléguée à teneur du compte débiteur, de CHF 687'833.37, est due à une première société dont M. D______ est administrateur président avec signature individuelle, la régie C______, société qui représente d'ailleurs les intimées dans la présente procédure. Par ailleurs, le prix de vente, pour l'aliénation en faveur d'une deuxième société dont M. D______ est également administrateur président avec signature individuelle, B______, a été fixé à CHF 800'000.-. L'opération ici envisagée permet ainsi, par une augmentation très importante du prix de vente, d'éponger de manière opportune la totalité de la dette de la venderesse, revenant à annuler la dette globale de celle-ci envers la régie C______ et à désintéresser ses autres créanciers, ceci tout en re- transférant la propriété juridique de l'appartement à M. D______, par l'intermédiaire de sa deuxième société, B______. Ainsi, la vente permet à ce dernier d'acquérir la propriété individualisée de l'appartement, alors qu'il était initialement propriétaire unique de l'entier de l'immeuble puis propriétaire de celui-ci à travers une troisième société dont il est administrateur président avec signature individuelle, G______, et alors qu'il ne s'est en réalité jamais départi de la propriété économique de l'appartement, vu les dettes de Mme A______ envers sa première société, la régie C______. En définitive, l'opération ici envisagée permettrait, au terme de la globalité des opérations effectuées depuis 2012, de remettre la venderesse dans la situation antérieure à son entrée dans les opérations de fraude à la loi et à M. D______ de redevenir juridiquement propriétaire de l'appartement, par l'intermédiaire de sa deuxième société, cependant ceci après avoir obtenu l'individualisation de celui-ci validée par autorisation d'aliéner, si ladite autorisation devait être confirmée.</w:t>
      </w:r>
    </w:p>
    <w:p>
      <w:r>
        <w:t>Au vu de ce qui précède, insolites et contractées dans un contexte de fraude à la loi, les dettes de la venderesse apparaissent pour la plupart douteuses. L'intérêt de celle-ci à les amortir, en sortant de la situation dans laquelle elle est sciemment entrée en fraude à la loi, et en permettant à l'acteur principal de ladite fraude de redevenir propriétaire, cette fois-ci du lot individualisé, par le biais d’une de ses sociétés, ne peut, quant aux dettes envers la régie C______, être protégé, et, quant à celles envers des tiers, que revêtir un poids relatif.</w:t>
      </w:r>
    </w:p>
    <w:p>
      <w:r>
        <w:t>b. En ce qui concerne les intérêts privés de la cessionnaire, les intimées ont indiqué que B______ achetait le certificat d'actions à titre d'investissement, soit pour des motifs purement commerciaux. Il sera sur ce point relevé que l'intérêt privé qui apparaît derrière celui de B______ est celui de M. D______, B______</w:t>
      </w:r>
    </w:p>
    <w:p>
      <w:r>
        <w:t>- 22/24 - A/451/2020 n'étant pas une société tierce mais, comme déjà constaté, une société liée à M. D______, lequel en est administrateur président avec signature individuelle et dont l'omniprésence à chaque étape des opérations, y compris dans l'étape finale ici considérée, dénote qu'il est le seul bénéficiaire économique du montage mis sur pied. 13) S'agissant de l'intérêt public, il s'agit de celui au maintien de l'affectation locative de l'appartement, sur lequel le TAPI s'est en définitive basé pour retenir que l'autorisation d'aliéner devait être accordée, ayant retenu que la vente n'entraînait aucune modification du statut de l'appartement sur le marché locatif.</w:t>
      </w:r>
    </w:p>
    <w:p>
      <w:r>
        <w:t>Toutefois, non seulement le bail versé à l'appui de la demande d'autorisation d'aliéner, de durée déterminée, est arrivé à échéance en décembre 2020, de sorte qu'il n'est pas évident, à teneur du dossier, que l'appartement soit à l'heure actuelle encore loué, mais aussi et surtout, le TAPI a omis de prendre en considération l'identité de l'acquéreuse et les effets d'une l'aliénation, à supposer qu'elle soit validée par autorisation d'aliéner. En effet, l'aliénation est sollicitée en faveur d'une société dont M. D______ est administrateur président et permettrait ainsi, comme déjà relevé, à M. D______, présent à toutes les étapes de la fraude à la loi et encore présent à cette ultime étape, de redevenir, à travers sa société B______, propriétaire de l'appartement, mais cette fois non pas en tant que partie de l'immeuble dont il est propriétaire, mais en tant que part de PPE individualisée. La délivrance d'une autorisation d'aliéner reviendrait par conséquent à valider l'individualisation de l'appartement, malgré l'absence d'intérêts privés substantiels, un tel résultat se heurtant à un intérêt public évident.</w:t>
      </w:r>
    </w:p>
    <w:p>
      <w:r>
        <w:t>Il sera sur ce point relevé que, comme l'a à juste titre constaté l'instance précédente, la réserve de l'impossibilité d'invoquer l'art. 39 al. 4 let. d LDTR figurant dans la décision litigieuse se heurte au texte légal et ne change donc rien à ce qui précède, ni ne présente en tant que telle aucune garantie. Or, cet élément est important, étant donné que contrairement à ce qu'a retenu le TAPI, ce serait bien la délivrance de l'autorisation sollicitée qui permettrait éventuellement, en vertu du principe de la légalité, de se prévaloir d'un droit à obtenir une nouvelle autorisation d'aliéner en vertu de l'art. 39 al. 4 LDTR, et non l'inscription déjà intervenue de Mme A______ au RF, qui, même si elle n'est pas nulle, n'a jamais été validée par une telle autorisation.</w:t>
      </w:r>
    </w:p>
    <w:p>
      <w:r>
        <w:t>Au vu de l'ensemble des éléments qui précèdent, l'intérêt public est largement prépondérant par rapport aux intérêts privés invoqués. L'autorité intimée a par conséquent abusé de son pouvoir d'appréciation en délivrant l'autorisation d'aliéner et l'instance précédente en la confirmant. Le grief sera admis. 14) Enfin, conformément à la jurisprudence du Tribunal fédéral applicable au vu de la large prépondérance de l'intérêt public en l'espèce (arrêt du Tribunal fédéral</w:t>
      </w:r>
    </w:p>
    <w:p>
      <w:r>
        <w:t>- 23/24 - A/451/2020 1C_124/2017 du 23 novembre 2017 consid. 3.2), la restriction est conforme à la garantie de la propriété consacrée par l'art. 26 Cst.</w:t>
      </w:r>
    </w:p>
    <w:p>
      <w:r>
        <w:t>Dans ces circonstances, le recours sera admis, dans la mesure où il est recevable, et le jugement du TAPI et l'arrêté de l'autorité intimée seront annulés. 15) Vu l'issue du litige, un émolument de CHF 2'000.- sera mis à la charge solidaire des intimées (art. 87 al. 1 LPA). Une indemnité de procédure de CHF 2'000.- sera allouée à l'ASLOCA, qui obtient gain de cause, à la charge solidaire des intimées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